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B1898">
      <w:pPr>
        <w:pStyle w:val="Text"/>
        <w:spacing w:after="0"/>
        <w:rPr>
          <w:b/>
        </w:rPr>
      </w:pPr>
      <w:bookmarkStart w:id="0" w:name="_GoBack"/>
      <w:bookmarkEnd w:id="0"/>
      <w:r>
        <w:rPr>
          <w:b/>
        </w:rPr>
        <w:t>CASE STUDY ON UNDERSTANDING HEALTH COSTS</w:t>
      </w:r>
    </w:p>
    <w:p w:rsidR="00000000" w:rsidRDefault="000B1898">
      <w:pPr>
        <w:pStyle w:val="Text"/>
        <w:spacing w:after="0"/>
        <w:rPr>
          <w:sz w:val="20"/>
        </w:rPr>
      </w:pPr>
      <w:r>
        <w:rPr>
          <w:sz w:val="20"/>
        </w:rPr>
        <w:t xml:space="preserve">Within the City of </w:t>
      </w:r>
      <w:smartTag w:uri="urn:schemas-microsoft-com:office:smarttags" w:element="place">
        <w:smartTag w:uri="urn:schemas-microsoft-com:office:smarttags" w:element="City">
          <w:r>
            <w:rPr>
              <w:sz w:val="20"/>
            </w:rPr>
            <w:t>Lilliput</w:t>
          </w:r>
        </w:smartTag>
      </w:smartTag>
      <w:r>
        <w:rPr>
          <w:sz w:val="20"/>
        </w:rPr>
        <w:t xml:space="preserve">, elective orthopaedic and trauma services are provided on two hospital sites. There is a specialist orthopaedic hospital which only undertakes elective </w:t>
      </w:r>
      <w:r>
        <w:rPr>
          <w:sz w:val="20"/>
        </w:rPr>
        <w:t>orthopaedic surgery while the general hospital which is 15 kilometres away in the City Centre undertakes both trauma and elective surgery cases. The relevant costs associated with each hospital were as follows:-</w:t>
      </w:r>
    </w:p>
    <w:tbl>
      <w:tblPr>
        <w:tblW w:w="10060" w:type="dxa"/>
        <w:tblInd w:w="93" w:type="dxa"/>
        <w:tblLook w:val="04A0" w:firstRow="1" w:lastRow="0" w:firstColumn="1" w:lastColumn="0" w:noHBand="0" w:noVBand="1"/>
      </w:tblPr>
      <w:tblGrid>
        <w:gridCol w:w="3240"/>
        <w:gridCol w:w="3420"/>
        <w:gridCol w:w="3400"/>
      </w:tblGrid>
      <w:tr w:rsidR="00000000">
        <w:trPr>
          <w:trHeight w:val="495"/>
        </w:trPr>
        <w:tc>
          <w:tcPr>
            <w:tcW w:w="3240" w:type="dxa"/>
            <w:tcBorders>
              <w:top w:val="single" w:sz="8" w:space="0" w:color="auto"/>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 </w:t>
            </w:r>
          </w:p>
        </w:tc>
        <w:tc>
          <w:tcPr>
            <w:tcW w:w="3420" w:type="dxa"/>
            <w:tcBorders>
              <w:top w:val="single" w:sz="8" w:space="0" w:color="auto"/>
              <w:left w:val="nil"/>
              <w:bottom w:val="single" w:sz="8" w:space="0" w:color="auto"/>
              <w:right w:val="single" w:sz="8" w:space="0" w:color="auto"/>
            </w:tcBorders>
            <w:hideMark/>
          </w:tcPr>
          <w:p w:rsidR="00000000" w:rsidRDefault="000B1898">
            <w:pPr>
              <w:overflowPunct/>
              <w:adjustRightInd/>
              <w:jc w:val="center"/>
              <w:rPr>
                <w:b/>
                <w:bCs/>
                <w:sz w:val="18"/>
                <w:szCs w:val="18"/>
              </w:rPr>
            </w:pPr>
            <w:r>
              <w:rPr>
                <w:b/>
                <w:bCs/>
                <w:sz w:val="18"/>
                <w:szCs w:val="18"/>
              </w:rPr>
              <w:t>General hospital – orthopaedics and t</w:t>
            </w:r>
            <w:r>
              <w:rPr>
                <w:b/>
                <w:bCs/>
                <w:sz w:val="18"/>
                <w:szCs w:val="18"/>
              </w:rPr>
              <w:t>rauma costs only</w:t>
            </w:r>
          </w:p>
        </w:tc>
        <w:tc>
          <w:tcPr>
            <w:tcW w:w="3400" w:type="dxa"/>
            <w:tcBorders>
              <w:top w:val="single" w:sz="8" w:space="0" w:color="auto"/>
              <w:left w:val="nil"/>
              <w:bottom w:val="single" w:sz="8" w:space="0" w:color="auto"/>
              <w:right w:val="single" w:sz="8" w:space="0" w:color="auto"/>
            </w:tcBorders>
            <w:hideMark/>
          </w:tcPr>
          <w:p w:rsidR="00000000" w:rsidRDefault="000B1898">
            <w:pPr>
              <w:overflowPunct/>
              <w:adjustRightInd/>
              <w:jc w:val="center"/>
              <w:rPr>
                <w:b/>
                <w:bCs/>
                <w:sz w:val="18"/>
                <w:szCs w:val="18"/>
              </w:rPr>
            </w:pPr>
            <w:r>
              <w:rPr>
                <w:b/>
                <w:bCs/>
                <w:sz w:val="18"/>
                <w:szCs w:val="18"/>
              </w:rPr>
              <w:t>Specialist orthopaedics hospital</w:t>
            </w:r>
          </w:p>
        </w:tc>
      </w:tr>
      <w:tr w:rsidR="00000000">
        <w:trPr>
          <w:trHeight w:val="27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 </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b/>
                <w:bCs/>
                <w:sz w:val="18"/>
                <w:szCs w:val="18"/>
              </w:rPr>
            </w:pPr>
            <w:r>
              <w:rPr>
                <w:b/>
                <w:bCs/>
                <w:sz w:val="18"/>
                <w:szCs w:val="18"/>
              </w:rPr>
              <w:t>euros</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b/>
                <w:bCs/>
                <w:sz w:val="18"/>
                <w:szCs w:val="18"/>
              </w:rPr>
            </w:pPr>
            <w:r>
              <w:rPr>
                <w:b/>
                <w:bCs/>
                <w:sz w:val="18"/>
                <w:szCs w:val="18"/>
              </w:rPr>
              <w:t>euros</w:t>
            </w:r>
          </w:p>
        </w:tc>
      </w:tr>
      <w:tr w:rsidR="00000000">
        <w:trPr>
          <w:trHeight w:val="27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Medical staff</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700,000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780,000</w:t>
            </w:r>
          </w:p>
        </w:tc>
      </w:tr>
      <w:tr w:rsidR="00000000">
        <w:trPr>
          <w:trHeight w:val="375"/>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Nursing and other professional staff</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1,500,000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1,600,000</w:t>
            </w:r>
          </w:p>
        </w:tc>
      </w:tr>
      <w:tr w:rsidR="00000000">
        <w:trPr>
          <w:trHeight w:val="27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Drugs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260,000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150,000</w:t>
            </w:r>
          </w:p>
        </w:tc>
      </w:tr>
      <w:tr w:rsidR="00000000">
        <w:trPr>
          <w:trHeight w:val="27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Catering consumables costs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200,000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180,000</w:t>
            </w:r>
          </w:p>
        </w:tc>
      </w:tr>
      <w:tr w:rsidR="00000000">
        <w:trPr>
          <w:trHeight w:val="255"/>
        </w:trPr>
        <w:tc>
          <w:tcPr>
            <w:tcW w:w="324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both"/>
              <w:rPr>
                <w:sz w:val="18"/>
                <w:szCs w:val="18"/>
              </w:rPr>
            </w:pPr>
            <w:r>
              <w:rPr>
                <w:sz w:val="18"/>
                <w:szCs w:val="18"/>
              </w:rPr>
              <w:t>Catering staff costs</w:t>
            </w:r>
          </w:p>
        </w:tc>
        <w:tc>
          <w:tcPr>
            <w:tcW w:w="3420" w:type="dxa"/>
            <w:tcBorders>
              <w:top w:val="nil"/>
              <w:left w:val="nil"/>
              <w:bottom w:val="nil"/>
              <w:right w:val="single" w:sz="8" w:space="0" w:color="auto"/>
            </w:tcBorders>
            <w:hideMark/>
          </w:tcPr>
          <w:p w:rsidR="00000000" w:rsidRDefault="000B1898">
            <w:pPr>
              <w:overflowPunct/>
              <w:adjustRightInd/>
              <w:jc w:val="center"/>
              <w:rPr>
                <w:sz w:val="18"/>
                <w:szCs w:val="18"/>
              </w:rPr>
            </w:pPr>
            <w:r>
              <w:rPr>
                <w:sz w:val="18"/>
                <w:szCs w:val="18"/>
              </w:rPr>
              <w:t>400,000</w:t>
            </w:r>
          </w:p>
        </w:tc>
        <w:tc>
          <w:tcPr>
            <w:tcW w:w="340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center"/>
              <w:rPr>
                <w:sz w:val="18"/>
                <w:szCs w:val="18"/>
              </w:rPr>
            </w:pPr>
            <w:r>
              <w:rPr>
                <w:sz w:val="18"/>
                <w:szCs w:val="18"/>
              </w:rPr>
              <w:t>350,000</w:t>
            </w:r>
          </w:p>
        </w:tc>
      </w:tr>
      <w:tr w:rsidR="00000000">
        <w:trPr>
          <w:trHeight w:val="270"/>
        </w:trPr>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(share of total hospital catering costs)</w:t>
            </w:r>
          </w:p>
        </w:tc>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r>
      <w:tr w:rsidR="00000000">
        <w:trPr>
          <w:trHeight w:val="255"/>
        </w:trPr>
        <w:tc>
          <w:tcPr>
            <w:tcW w:w="324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both"/>
              <w:rPr>
                <w:sz w:val="18"/>
                <w:szCs w:val="18"/>
              </w:rPr>
            </w:pPr>
            <w:r>
              <w:rPr>
                <w:sz w:val="18"/>
                <w:szCs w:val="18"/>
              </w:rPr>
              <w:t>Buildings costs</w:t>
            </w:r>
          </w:p>
        </w:tc>
        <w:tc>
          <w:tcPr>
            <w:tcW w:w="3420" w:type="dxa"/>
            <w:tcBorders>
              <w:top w:val="nil"/>
              <w:left w:val="nil"/>
              <w:bottom w:val="nil"/>
              <w:right w:val="single" w:sz="8" w:space="0" w:color="auto"/>
            </w:tcBorders>
            <w:hideMark/>
          </w:tcPr>
          <w:p w:rsidR="00000000" w:rsidRDefault="000B1898">
            <w:pPr>
              <w:overflowPunct/>
              <w:adjustRightInd/>
              <w:jc w:val="center"/>
              <w:rPr>
                <w:sz w:val="18"/>
                <w:szCs w:val="18"/>
              </w:rPr>
            </w:pPr>
            <w:r>
              <w:rPr>
                <w:sz w:val="18"/>
                <w:szCs w:val="18"/>
              </w:rPr>
              <w:t>350,000</w:t>
            </w:r>
          </w:p>
        </w:tc>
        <w:tc>
          <w:tcPr>
            <w:tcW w:w="340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center"/>
              <w:rPr>
                <w:sz w:val="18"/>
                <w:szCs w:val="18"/>
              </w:rPr>
            </w:pPr>
            <w:r>
              <w:rPr>
                <w:sz w:val="18"/>
                <w:szCs w:val="18"/>
              </w:rPr>
              <w:t>100,000</w:t>
            </w:r>
          </w:p>
        </w:tc>
      </w:tr>
      <w:tr w:rsidR="00000000">
        <w:trPr>
          <w:trHeight w:val="330"/>
        </w:trPr>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(share of total hospital buildings costs)</w:t>
            </w:r>
          </w:p>
        </w:tc>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r>
      <w:tr w:rsidR="00000000">
        <w:trPr>
          <w:trHeight w:val="255"/>
        </w:trPr>
        <w:tc>
          <w:tcPr>
            <w:tcW w:w="324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both"/>
              <w:rPr>
                <w:sz w:val="18"/>
                <w:szCs w:val="18"/>
              </w:rPr>
            </w:pPr>
            <w:r>
              <w:rPr>
                <w:sz w:val="18"/>
                <w:szCs w:val="18"/>
              </w:rPr>
              <w:t>Administrative costs</w:t>
            </w:r>
          </w:p>
        </w:tc>
        <w:tc>
          <w:tcPr>
            <w:tcW w:w="3420" w:type="dxa"/>
            <w:tcBorders>
              <w:top w:val="nil"/>
              <w:left w:val="nil"/>
              <w:bottom w:val="nil"/>
              <w:right w:val="single" w:sz="8" w:space="0" w:color="auto"/>
            </w:tcBorders>
            <w:hideMark/>
          </w:tcPr>
          <w:p w:rsidR="00000000" w:rsidRDefault="000B1898">
            <w:pPr>
              <w:overflowPunct/>
              <w:adjustRightInd/>
              <w:jc w:val="center"/>
              <w:rPr>
                <w:sz w:val="18"/>
                <w:szCs w:val="18"/>
              </w:rPr>
            </w:pPr>
            <w:r>
              <w:rPr>
                <w:sz w:val="18"/>
                <w:szCs w:val="18"/>
              </w:rPr>
              <w:t>250,000</w:t>
            </w:r>
          </w:p>
        </w:tc>
        <w:tc>
          <w:tcPr>
            <w:tcW w:w="3400" w:type="dxa"/>
            <w:vMerge w:val="restart"/>
            <w:tcBorders>
              <w:top w:val="nil"/>
              <w:left w:val="single" w:sz="8" w:space="0" w:color="auto"/>
              <w:bottom w:val="single" w:sz="8" w:space="0" w:color="000000"/>
              <w:right w:val="single" w:sz="8" w:space="0" w:color="auto"/>
            </w:tcBorders>
            <w:hideMark/>
          </w:tcPr>
          <w:p w:rsidR="00000000" w:rsidRDefault="000B1898">
            <w:pPr>
              <w:overflowPunct/>
              <w:adjustRightInd/>
              <w:jc w:val="center"/>
              <w:rPr>
                <w:sz w:val="18"/>
                <w:szCs w:val="18"/>
              </w:rPr>
            </w:pPr>
            <w:r>
              <w:rPr>
                <w:sz w:val="18"/>
                <w:szCs w:val="18"/>
              </w:rPr>
              <w:t>150,000</w:t>
            </w:r>
          </w:p>
        </w:tc>
      </w:tr>
      <w:tr w:rsidR="00000000">
        <w:trPr>
          <w:trHeight w:val="300"/>
        </w:trPr>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 xml:space="preserve">(share of total </w:t>
            </w:r>
            <w:r>
              <w:rPr>
                <w:sz w:val="18"/>
                <w:szCs w:val="18"/>
              </w:rPr>
              <w:t>hospital admin costs)</w:t>
            </w:r>
          </w:p>
        </w:tc>
        <w:tc>
          <w:tcPr>
            <w:tcW w:w="0" w:type="auto"/>
            <w:vMerge/>
            <w:tcBorders>
              <w:top w:val="nil"/>
              <w:left w:val="single" w:sz="8" w:space="0" w:color="auto"/>
              <w:bottom w:val="single" w:sz="8" w:space="0" w:color="000000"/>
              <w:right w:val="single" w:sz="8" w:space="0" w:color="auto"/>
            </w:tcBorders>
            <w:vAlign w:val="center"/>
            <w:hideMark/>
          </w:tcPr>
          <w:p w:rsidR="00000000" w:rsidRDefault="000B1898">
            <w:pPr>
              <w:overflowPunct/>
              <w:adjustRightInd/>
              <w:rPr>
                <w:sz w:val="18"/>
                <w:szCs w:val="18"/>
              </w:rPr>
            </w:pPr>
          </w:p>
        </w:tc>
      </w:tr>
      <w:tr w:rsidR="00000000">
        <w:trPr>
          <w:trHeight w:val="27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Total costs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3,660,000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3,310,000</w:t>
            </w:r>
          </w:p>
        </w:tc>
      </w:tr>
      <w:tr w:rsidR="00000000">
        <w:trPr>
          <w:trHeight w:val="270"/>
        </w:trPr>
        <w:tc>
          <w:tcPr>
            <w:tcW w:w="3240" w:type="dxa"/>
            <w:tcBorders>
              <w:top w:val="nil"/>
              <w:left w:val="single" w:sz="8" w:space="0" w:color="auto"/>
              <w:bottom w:val="single" w:sz="8" w:space="0" w:color="auto"/>
              <w:right w:val="single" w:sz="8" w:space="0" w:color="auto"/>
            </w:tcBorders>
            <w:shd w:val="clear" w:color="auto" w:fill="C0C0C0"/>
            <w:hideMark/>
          </w:tcPr>
          <w:p w:rsidR="00000000" w:rsidRDefault="000B1898">
            <w:pPr>
              <w:overflowPunct/>
              <w:adjustRightInd/>
              <w:jc w:val="both"/>
              <w:rPr>
                <w:sz w:val="18"/>
                <w:szCs w:val="18"/>
              </w:rPr>
            </w:pPr>
            <w:r>
              <w:rPr>
                <w:sz w:val="18"/>
                <w:szCs w:val="18"/>
              </w:rPr>
              <w:t> </w:t>
            </w:r>
          </w:p>
        </w:tc>
        <w:tc>
          <w:tcPr>
            <w:tcW w:w="3420" w:type="dxa"/>
            <w:tcBorders>
              <w:top w:val="nil"/>
              <w:left w:val="nil"/>
              <w:bottom w:val="single" w:sz="8" w:space="0" w:color="auto"/>
              <w:right w:val="single" w:sz="8" w:space="0" w:color="auto"/>
            </w:tcBorders>
            <w:shd w:val="clear" w:color="auto" w:fill="C0C0C0"/>
            <w:hideMark/>
          </w:tcPr>
          <w:p w:rsidR="00000000" w:rsidRDefault="000B1898">
            <w:pPr>
              <w:overflowPunct/>
              <w:adjustRightInd/>
              <w:jc w:val="center"/>
              <w:rPr>
                <w:sz w:val="18"/>
                <w:szCs w:val="18"/>
              </w:rPr>
            </w:pPr>
            <w:r>
              <w:rPr>
                <w:sz w:val="18"/>
                <w:szCs w:val="18"/>
              </w:rPr>
              <w:t> </w:t>
            </w:r>
          </w:p>
        </w:tc>
        <w:tc>
          <w:tcPr>
            <w:tcW w:w="3400" w:type="dxa"/>
            <w:tcBorders>
              <w:top w:val="nil"/>
              <w:left w:val="nil"/>
              <w:bottom w:val="single" w:sz="8" w:space="0" w:color="auto"/>
              <w:right w:val="single" w:sz="8" w:space="0" w:color="auto"/>
            </w:tcBorders>
            <w:shd w:val="clear" w:color="auto" w:fill="C0C0C0"/>
            <w:hideMark/>
          </w:tcPr>
          <w:p w:rsidR="00000000" w:rsidRDefault="000B1898">
            <w:pPr>
              <w:overflowPunct/>
              <w:adjustRightInd/>
              <w:jc w:val="center"/>
              <w:rPr>
                <w:sz w:val="18"/>
                <w:szCs w:val="18"/>
              </w:rPr>
            </w:pPr>
            <w:r>
              <w:rPr>
                <w:sz w:val="18"/>
                <w:szCs w:val="18"/>
              </w:rPr>
              <w:t> </w:t>
            </w:r>
          </w:p>
        </w:tc>
      </w:tr>
      <w:tr w:rsidR="00000000">
        <w:trPr>
          <w:trHeight w:val="615"/>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Total number of elective orthopaedic in-patients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400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4000</w:t>
            </w:r>
          </w:p>
        </w:tc>
      </w:tr>
      <w:tr w:rsidR="00000000">
        <w:trPr>
          <w:trHeight w:val="450"/>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total number of trauma in-patients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4000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w:t>
            </w:r>
          </w:p>
        </w:tc>
      </w:tr>
      <w:tr w:rsidR="00000000">
        <w:trPr>
          <w:trHeight w:val="375"/>
        </w:trPr>
        <w:tc>
          <w:tcPr>
            <w:tcW w:w="3240" w:type="dxa"/>
            <w:tcBorders>
              <w:top w:val="nil"/>
              <w:left w:val="single" w:sz="8" w:space="0" w:color="auto"/>
              <w:bottom w:val="single" w:sz="8" w:space="0" w:color="auto"/>
              <w:right w:val="single" w:sz="8" w:space="0" w:color="auto"/>
            </w:tcBorders>
            <w:hideMark/>
          </w:tcPr>
          <w:p w:rsidR="00000000" w:rsidRDefault="000B1898">
            <w:pPr>
              <w:overflowPunct/>
              <w:adjustRightInd/>
              <w:jc w:val="both"/>
              <w:rPr>
                <w:sz w:val="18"/>
                <w:szCs w:val="18"/>
              </w:rPr>
            </w:pPr>
            <w:r>
              <w:rPr>
                <w:sz w:val="18"/>
                <w:szCs w:val="18"/>
              </w:rPr>
              <w:t>Total number of hospital in-patients</w:t>
            </w:r>
          </w:p>
        </w:tc>
        <w:tc>
          <w:tcPr>
            <w:tcW w:w="342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60,000</w:t>
            </w:r>
          </w:p>
        </w:tc>
        <w:tc>
          <w:tcPr>
            <w:tcW w:w="3400" w:type="dxa"/>
            <w:tcBorders>
              <w:top w:val="nil"/>
              <w:left w:val="nil"/>
              <w:bottom w:val="single" w:sz="8" w:space="0" w:color="auto"/>
              <w:right w:val="single" w:sz="8" w:space="0" w:color="auto"/>
            </w:tcBorders>
            <w:hideMark/>
          </w:tcPr>
          <w:p w:rsidR="00000000" w:rsidRDefault="000B1898">
            <w:pPr>
              <w:overflowPunct/>
              <w:adjustRightInd/>
              <w:jc w:val="center"/>
              <w:rPr>
                <w:sz w:val="18"/>
                <w:szCs w:val="18"/>
              </w:rPr>
            </w:pPr>
            <w:r>
              <w:rPr>
                <w:sz w:val="18"/>
                <w:szCs w:val="18"/>
              </w:rPr>
              <w:t>4,000</w:t>
            </w:r>
          </w:p>
        </w:tc>
      </w:tr>
    </w:tbl>
    <w:p w:rsidR="00000000" w:rsidRDefault="000B1898">
      <w:pPr>
        <w:pStyle w:val="Text"/>
        <w:rPr>
          <w:sz w:val="20"/>
        </w:rPr>
      </w:pPr>
      <w:r>
        <w:rPr>
          <w:sz w:val="20"/>
        </w:rPr>
        <w:t>A proposal was made and initiated for the all of the elective orthopaedic work at the general hospital to be transferred to the specialist hospital. The following points were made at the time of the proposal:-</w:t>
      </w:r>
    </w:p>
    <w:p w:rsidR="00000000" w:rsidRDefault="000B1898">
      <w:pPr>
        <w:pStyle w:val="Bullet"/>
        <w:tabs>
          <w:tab w:val="clear" w:pos="284"/>
          <w:tab w:val="left" w:pos="0"/>
        </w:tabs>
        <w:ind w:left="360" w:hanging="360"/>
        <w:rPr>
          <w:sz w:val="20"/>
        </w:rPr>
      </w:pPr>
      <w:r>
        <w:rPr>
          <w:rFonts w:ascii="Symbol" w:eastAsia="Symbol" w:hAnsi="Symbol" w:cs="Symbol"/>
          <w:sz w:val="20"/>
        </w:rPr>
        <w:t></w:t>
      </w:r>
      <w:r>
        <w:rPr>
          <w:rFonts w:eastAsia="Symbol"/>
          <w:sz w:val="14"/>
          <w:szCs w:val="14"/>
        </w:rPr>
        <w:t xml:space="preserve">         </w:t>
      </w:r>
      <w:r>
        <w:rPr>
          <w:sz w:val="20"/>
        </w:rPr>
        <w:t xml:space="preserve">since elective </w:t>
      </w:r>
      <w:r>
        <w:rPr>
          <w:sz w:val="20"/>
        </w:rPr>
        <w:t>orthopaedic patients at the general hospital represented 10% of total orthopaedic and trauma patients at the hospital it could be assumed that their transfer would result in a 10% saving in the total costs of orthopaedic and trauma services. Thus the savin</w:t>
      </w:r>
      <w:r>
        <w:rPr>
          <w:sz w:val="20"/>
        </w:rPr>
        <w:t>gs would be: 10% x 3,660,000 = 366,000 euros.</w:t>
      </w:r>
    </w:p>
    <w:p w:rsidR="00000000" w:rsidRDefault="000B1898">
      <w:pPr>
        <w:pStyle w:val="Bullet"/>
        <w:tabs>
          <w:tab w:val="clear" w:pos="284"/>
          <w:tab w:val="left" w:pos="0"/>
        </w:tabs>
        <w:ind w:left="360" w:hanging="360"/>
        <w:rPr>
          <w:sz w:val="20"/>
        </w:rPr>
      </w:pPr>
      <w:r>
        <w:rPr>
          <w:rFonts w:ascii="Symbol" w:eastAsia="Symbol" w:hAnsi="Symbol" w:cs="Symbol"/>
          <w:sz w:val="20"/>
        </w:rPr>
        <w:t></w:t>
      </w:r>
      <w:r>
        <w:rPr>
          <w:rFonts w:eastAsia="Symbol"/>
          <w:sz w:val="14"/>
          <w:szCs w:val="14"/>
        </w:rPr>
        <w:t xml:space="preserve">         </w:t>
      </w:r>
      <w:r>
        <w:rPr>
          <w:sz w:val="20"/>
        </w:rPr>
        <w:t>an additional 400 orthopaedic patients at the specialist hospital would imply a 10% increase in workload at that hospital. Thus it was assumed that their transfer would result in a 10% cost increase i</w:t>
      </w:r>
      <w:r>
        <w:rPr>
          <w:sz w:val="20"/>
        </w:rPr>
        <w:t>n the total costs of the specialist hospital. Thus the cost increase would be: 10% x 3,310,000 = 331,000 euros.</w:t>
      </w:r>
    </w:p>
    <w:p w:rsidR="00000000" w:rsidRDefault="000B1898">
      <w:pPr>
        <w:pStyle w:val="Text"/>
        <w:rPr>
          <w:sz w:val="20"/>
        </w:rPr>
      </w:pPr>
      <w:r>
        <w:rPr>
          <w:sz w:val="20"/>
        </w:rPr>
        <w:t xml:space="preserve">The transfer of orthopaedic patients from the general hospital to the specialist hospital was seen as having considerable clinical benefits and </w:t>
      </w:r>
      <w:r>
        <w:rPr>
          <w:sz w:val="20"/>
        </w:rPr>
        <w:t>was projected to make an overall cost saving of 35,000 euros (366,000 - 331,000). However, a year after the change took place it was discovered that costs at the general hospital had reduced by less than 5% (even after all possible measures were taken to r</w:t>
      </w:r>
      <w:r>
        <w:rPr>
          <w:sz w:val="20"/>
        </w:rPr>
        <w:t>educe costs) whereas costs at the specialist unit increased by more than 10% when a new operating theatre was built to cope with the extra case load.</w:t>
      </w:r>
    </w:p>
    <w:p w:rsidR="00000000" w:rsidRDefault="000B1898">
      <w:pPr>
        <w:pStyle w:val="Text"/>
        <w:rPr>
          <w:b/>
          <w:sz w:val="20"/>
        </w:rPr>
      </w:pPr>
      <w:r>
        <w:rPr>
          <w:b/>
          <w:sz w:val="20"/>
        </w:rPr>
        <w:t>Required</w:t>
      </w:r>
    </w:p>
    <w:p w:rsidR="00000000" w:rsidRDefault="000B1898">
      <w:pPr>
        <w:pStyle w:val="Bullet"/>
        <w:tabs>
          <w:tab w:val="clear" w:pos="284"/>
          <w:tab w:val="left" w:pos="0"/>
        </w:tabs>
        <w:rPr>
          <w:sz w:val="20"/>
        </w:rPr>
      </w:pPr>
      <w:r>
        <w:rPr>
          <w:rFonts w:ascii="Symbol" w:eastAsia="Symbol" w:hAnsi="Symbol" w:cs="Symbol"/>
          <w:sz w:val="20"/>
        </w:rPr>
        <w:t></w:t>
      </w:r>
      <w:r>
        <w:rPr>
          <w:rFonts w:eastAsia="Symbol"/>
          <w:sz w:val="14"/>
          <w:szCs w:val="14"/>
        </w:rPr>
        <w:t xml:space="preserve">         </w:t>
      </w:r>
      <w:r>
        <w:rPr>
          <w:sz w:val="20"/>
        </w:rPr>
        <w:t>Comment on the robustness of the costing exercise that was undertaken</w:t>
      </w:r>
    </w:p>
    <w:p w:rsidR="00000000" w:rsidRDefault="000B1898">
      <w:pPr>
        <w:pStyle w:val="Bullet"/>
        <w:tabs>
          <w:tab w:val="clear" w:pos="284"/>
          <w:tab w:val="left" w:pos="0"/>
        </w:tabs>
        <w:rPr>
          <w:sz w:val="20"/>
        </w:rPr>
      </w:pPr>
      <w:r>
        <w:rPr>
          <w:rFonts w:ascii="Symbol" w:eastAsia="Symbol" w:hAnsi="Symbol" w:cs="Symbol"/>
          <w:sz w:val="20"/>
        </w:rPr>
        <w:t></w:t>
      </w:r>
      <w:r>
        <w:rPr>
          <w:rFonts w:eastAsia="Symbol"/>
          <w:sz w:val="14"/>
          <w:szCs w:val="14"/>
        </w:rPr>
        <w:t xml:space="preserve">         </w:t>
      </w:r>
      <w:r>
        <w:rPr>
          <w:sz w:val="20"/>
        </w:rPr>
        <w:t>Identif</w:t>
      </w:r>
      <w:r>
        <w:rPr>
          <w:sz w:val="20"/>
        </w:rPr>
        <w:t>y what additional information would have been needed to make a more accurate costing</w:t>
      </w:r>
    </w:p>
    <w:p w:rsidR="00000000" w:rsidRDefault="000B1898">
      <w:pPr>
        <w:pStyle w:val="Bullet"/>
        <w:tabs>
          <w:tab w:val="left" w:pos="0"/>
        </w:tabs>
        <w:rPr>
          <w:b/>
        </w:rPr>
      </w:pPr>
      <w:r>
        <w:rPr>
          <w:lang w:eastAsia="en-US"/>
        </w:rPr>
        <w:br w:type="page"/>
      </w:r>
      <w:r>
        <w:rPr>
          <w:b/>
        </w:rPr>
        <w:t>POINTERS TO CASE STUDY</w:t>
      </w:r>
    </w:p>
    <w:p w:rsidR="00000000" w:rsidRDefault="000B1898">
      <w:pPr>
        <w:pStyle w:val="Bullet"/>
        <w:tabs>
          <w:tab w:val="left" w:pos="0"/>
        </w:tabs>
      </w:pPr>
    </w:p>
    <w:p w:rsidR="00000000" w:rsidRDefault="000B1898">
      <w:pPr>
        <w:pStyle w:val="Bullet"/>
        <w:tabs>
          <w:tab w:val="clear" w:pos="284"/>
          <w:tab w:val="left" w:pos="0"/>
        </w:tabs>
        <w:ind w:left="360" w:hanging="360"/>
      </w:pPr>
      <w:r>
        <w:rPr>
          <w:rFonts w:ascii="Symbol" w:eastAsia="Symbol" w:hAnsi="Symbol" w:cs="Symbol"/>
        </w:rPr>
        <w:t></w:t>
      </w:r>
      <w:r>
        <w:rPr>
          <w:rFonts w:eastAsia="Symbol"/>
          <w:sz w:val="14"/>
          <w:szCs w:val="14"/>
        </w:rPr>
        <w:t xml:space="preserve">         </w:t>
      </w:r>
      <w:r>
        <w:rPr>
          <w:b/>
        </w:rPr>
        <w:t>Medical and nursing staff costs</w:t>
      </w:r>
      <w:r>
        <w:t xml:space="preserve"> – these costs do not necessarily behave in a linear manner. Changes of 10% in activity levels </w:t>
      </w:r>
      <w:r>
        <w:t>cannot be assumed to equate to 10% variations in costs</w:t>
      </w:r>
    </w:p>
    <w:p w:rsidR="00000000" w:rsidRDefault="000B1898">
      <w:pPr>
        <w:pStyle w:val="Bullet"/>
        <w:tabs>
          <w:tab w:val="left" w:pos="0"/>
        </w:tabs>
      </w:pPr>
    </w:p>
    <w:p w:rsidR="00000000" w:rsidRDefault="000B1898">
      <w:pPr>
        <w:pStyle w:val="Bullet"/>
        <w:tabs>
          <w:tab w:val="clear" w:pos="284"/>
          <w:tab w:val="left" w:pos="0"/>
        </w:tabs>
        <w:ind w:left="360" w:hanging="360"/>
      </w:pPr>
      <w:r>
        <w:rPr>
          <w:rFonts w:ascii="Symbol" w:eastAsia="Symbol" w:hAnsi="Symbol" w:cs="Symbol"/>
        </w:rPr>
        <w:t></w:t>
      </w:r>
      <w:r>
        <w:rPr>
          <w:rFonts w:eastAsia="Symbol"/>
          <w:sz w:val="14"/>
          <w:szCs w:val="14"/>
        </w:rPr>
        <w:t xml:space="preserve">         </w:t>
      </w:r>
      <w:r>
        <w:rPr>
          <w:b/>
        </w:rPr>
        <w:t>Drugs costs</w:t>
      </w:r>
      <w:r>
        <w:t xml:space="preserve"> – although these costs might be thought to vary in accordance with patient numbers, there may be differences in average drug consumption levels between trauma patients and electi</w:t>
      </w:r>
      <w:r>
        <w:t>ve orthopaedic patients. Thus will a 10% reduction in activity levels at the general hospital (mixed elective and trauma) mean a 10% saving in drugs costs?</w:t>
      </w:r>
    </w:p>
    <w:p w:rsidR="00000000" w:rsidRDefault="000B1898">
      <w:pPr>
        <w:pStyle w:val="Bullet"/>
        <w:tabs>
          <w:tab w:val="left" w:pos="0"/>
        </w:tabs>
      </w:pPr>
    </w:p>
    <w:p w:rsidR="00000000" w:rsidRDefault="000B1898">
      <w:pPr>
        <w:pStyle w:val="Bullet"/>
        <w:tabs>
          <w:tab w:val="clear" w:pos="284"/>
          <w:tab w:val="left" w:pos="0"/>
        </w:tabs>
        <w:ind w:left="360" w:hanging="360"/>
      </w:pPr>
      <w:r>
        <w:rPr>
          <w:rFonts w:ascii="Symbol" w:eastAsia="Symbol" w:hAnsi="Symbol" w:cs="Symbol"/>
        </w:rPr>
        <w:t></w:t>
      </w:r>
      <w:r>
        <w:rPr>
          <w:rFonts w:eastAsia="Symbol"/>
          <w:sz w:val="14"/>
          <w:szCs w:val="14"/>
        </w:rPr>
        <w:t xml:space="preserve">         </w:t>
      </w:r>
      <w:r>
        <w:rPr>
          <w:b/>
        </w:rPr>
        <w:t xml:space="preserve">Catering consumables costs </w:t>
      </w:r>
      <w:r>
        <w:t>– same question as for drugs costs</w:t>
      </w:r>
    </w:p>
    <w:p w:rsidR="00000000" w:rsidRDefault="000B1898">
      <w:pPr>
        <w:pStyle w:val="Bullet"/>
        <w:tabs>
          <w:tab w:val="left" w:pos="0"/>
        </w:tabs>
      </w:pPr>
    </w:p>
    <w:p w:rsidR="00000000" w:rsidRDefault="000B1898">
      <w:pPr>
        <w:pStyle w:val="Bullet"/>
        <w:tabs>
          <w:tab w:val="clear" w:pos="284"/>
          <w:tab w:val="left" w:pos="0"/>
        </w:tabs>
        <w:ind w:left="360" w:hanging="360"/>
      </w:pPr>
      <w:r>
        <w:rPr>
          <w:rFonts w:ascii="Symbol" w:eastAsia="Symbol" w:hAnsi="Symbol" w:cs="Symbol"/>
        </w:rPr>
        <w:t></w:t>
      </w:r>
      <w:r>
        <w:rPr>
          <w:rFonts w:eastAsia="Symbol"/>
          <w:sz w:val="14"/>
          <w:szCs w:val="14"/>
        </w:rPr>
        <w:t xml:space="preserve">         </w:t>
      </w:r>
      <w:r>
        <w:rPr>
          <w:b/>
        </w:rPr>
        <w:t>Catering staff c</w:t>
      </w:r>
      <w:r>
        <w:rPr>
          <w:b/>
        </w:rPr>
        <w:t>osts/buildings costs/administrative costs</w:t>
      </w:r>
      <w:r>
        <w:t>. – can we just assume that a 10% increase in activity levels in the specialist hospital will generate a 10% increase in these costs. For example, what would be the impact on estates costs of the new operating theat</w:t>
      </w:r>
      <w:r>
        <w:t>re.</w:t>
      </w:r>
    </w:p>
    <w:p w:rsidR="00000000" w:rsidRDefault="000B1898">
      <w:pPr>
        <w:pStyle w:val="Bullet"/>
        <w:tabs>
          <w:tab w:val="left" w:pos="0"/>
        </w:tabs>
      </w:pPr>
    </w:p>
    <w:p w:rsidR="000B1898" w:rsidRDefault="000B1898">
      <w:pPr>
        <w:pStyle w:val="Bullet"/>
        <w:tabs>
          <w:tab w:val="clear" w:pos="284"/>
          <w:tab w:val="left" w:pos="0"/>
        </w:tabs>
        <w:ind w:left="360" w:hanging="360"/>
      </w:pPr>
      <w:r>
        <w:rPr>
          <w:rFonts w:ascii="Symbol" w:eastAsia="Symbol" w:hAnsi="Symbol" w:cs="Symbol"/>
        </w:rPr>
        <w:t></w:t>
      </w:r>
      <w:r>
        <w:rPr>
          <w:rFonts w:eastAsia="Symbol"/>
          <w:sz w:val="14"/>
          <w:szCs w:val="14"/>
        </w:rPr>
        <w:t xml:space="preserve">         </w:t>
      </w:r>
      <w:r>
        <w:rPr>
          <w:b/>
        </w:rPr>
        <w:t xml:space="preserve">Catering staff costs/buildings costs/administrative costs – </w:t>
      </w:r>
      <w:r>
        <w:t xml:space="preserve">the costs attributed to the orthopaedics and trauma department at the general hospital are just a share of the total costs of the hospital as a whole. It is unclear as to the basis </w:t>
      </w:r>
      <w:r>
        <w:t>by which these costs have been attributed to the orthopaedics and trauma department. Could we, therefore, just assume that a 10% reduction in activity levels in the department will result in a real 10% reduction in these costs.</w:t>
      </w:r>
    </w:p>
    <w:sectPr w:rsidR="000B1898">
      <w:pgSz w:w="11907" w:h="16840"/>
      <w:pgMar w:top="1440"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KPMG Logo">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00C0A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48E60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3881A5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9836C6"/>
    <w:lvl w:ilvl="0">
      <w:start w:val="1"/>
      <w:numFmt w:val="decimal"/>
      <w:pStyle w:val="ListNumber2"/>
      <w:lvlText w:val="%1."/>
      <w:lvlJc w:val="left"/>
      <w:pPr>
        <w:tabs>
          <w:tab w:val="num" w:pos="643"/>
        </w:tabs>
        <w:ind w:left="643" w:hanging="360"/>
      </w:pPr>
    </w:lvl>
  </w:abstractNum>
  <w:abstractNum w:abstractNumId="4">
    <w:nsid w:val="FFFFFF80"/>
    <w:multiLevelType w:val="singleLevel"/>
    <w:tmpl w:val="7DBAC8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4482E7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9FC4A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D64557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7C6C894"/>
    <w:lvl w:ilvl="0">
      <w:start w:val="1"/>
      <w:numFmt w:val="decimal"/>
      <w:pStyle w:val="ListNumber"/>
      <w:lvlText w:val="%1."/>
      <w:lvlJc w:val="left"/>
      <w:pPr>
        <w:tabs>
          <w:tab w:val="num" w:pos="360"/>
        </w:tabs>
        <w:ind w:left="360" w:hanging="360"/>
      </w:pPr>
    </w:lvl>
  </w:abstractNum>
  <w:abstractNum w:abstractNumId="9">
    <w:nsid w:val="FFFFFF89"/>
    <w:multiLevelType w:val="singleLevel"/>
    <w:tmpl w:val="9D3A340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attachedTemplate r:id="rId1"/>
  <w:defaultTabStop w:val="720"/>
  <w:noPunctuationKerning/>
  <w:characterSpacingControl w:val="doNotCompress"/>
  <w:compat>
    <w:doNotSnapToGridInCell/>
    <w:selectFldWithFirstOrLastChar/>
    <w:doNotWrapTextWithPunct/>
    <w:doNotUseEastAsianBreakRules/>
    <w:useWord2002TableStyleRules/>
    <w:growAutofit/>
    <w:compatSetting w:name="compatibilityMode" w:uri="http://schemas.microsoft.com/office/word" w:val="14"/>
  </w:compat>
  <w:docVars>
    <w:docVar w:name="Author" w:val="Malcolm Prowle"/>
    <w:docVar w:name="Branding" w:val="KPMG"/>
    <w:docVar w:name="DocType" w:val="Blank"/>
    <w:docVar w:name="Entity" w:val="KPMG LLP"/>
    <w:docVar w:name="iVersion" w:val="8.8"/>
    <w:docVar w:name="KISTemplateApplied" w:val=" "/>
    <w:docVar w:name="Subject" w:val="Subject"/>
    <w:docVar w:name="Typist" w:val="Malcolm Prowle"/>
    <w:docVar w:name="Version Used" w:val="8.8"/>
  </w:docVars>
  <w:rsids>
    <w:rsidRoot w:val="007B0C14"/>
    <w:rsid w:val="000B1898"/>
    <w:rsid w:val="007B0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djustRightInd w:val="0"/>
    </w:pPr>
    <w:rPr>
      <w:sz w:val="22"/>
    </w:rPr>
  </w:style>
  <w:style w:type="paragraph" w:styleId="Heading1">
    <w:name w:val="heading 1"/>
    <w:basedOn w:val="Normal"/>
    <w:next w:val="Heading2"/>
    <w:link w:val="Heading1Char"/>
    <w:qFormat/>
    <w:pPr>
      <w:keepNext/>
      <w:tabs>
        <w:tab w:val="num" w:pos="0"/>
      </w:tabs>
      <w:spacing w:after="600"/>
      <w:ind w:hanging="851"/>
      <w:outlineLvl w:val="0"/>
    </w:pPr>
    <w:rPr>
      <w:rFonts w:eastAsiaTheme="minorEastAsia"/>
      <w:b/>
      <w:sz w:val="32"/>
    </w:rPr>
  </w:style>
  <w:style w:type="paragraph" w:styleId="Heading2">
    <w:name w:val="heading 2"/>
    <w:basedOn w:val="Normal"/>
    <w:next w:val="Text"/>
    <w:link w:val="Heading2Char"/>
    <w:qFormat/>
    <w:pPr>
      <w:keepNext/>
      <w:tabs>
        <w:tab w:val="num" w:pos="0"/>
      </w:tabs>
      <w:spacing w:before="80" w:after="80"/>
      <w:ind w:hanging="851"/>
      <w:outlineLvl w:val="1"/>
    </w:pPr>
    <w:rPr>
      <w:rFonts w:eastAsiaTheme="minorEastAsia"/>
      <w:iCs/>
      <w:sz w:val="28"/>
    </w:rPr>
  </w:style>
  <w:style w:type="paragraph" w:styleId="Heading3">
    <w:name w:val="heading 3"/>
    <w:basedOn w:val="Normal"/>
    <w:next w:val="Text"/>
    <w:link w:val="Heading3Char"/>
    <w:qFormat/>
    <w:pPr>
      <w:keepNext/>
      <w:tabs>
        <w:tab w:val="num" w:pos="0"/>
      </w:tabs>
      <w:spacing w:before="80" w:after="80"/>
      <w:ind w:hanging="851"/>
      <w:outlineLvl w:val="2"/>
    </w:pPr>
    <w:rPr>
      <w:rFonts w:eastAsiaTheme="minorEastAsia"/>
      <w:b/>
      <w:bCs/>
      <w:iCs/>
      <w:sz w:val="24"/>
    </w:rPr>
  </w:style>
  <w:style w:type="paragraph" w:styleId="Heading4">
    <w:name w:val="heading 4"/>
    <w:basedOn w:val="Normal"/>
    <w:next w:val="Text"/>
    <w:link w:val="Heading4Char"/>
    <w:qFormat/>
    <w:pPr>
      <w:keepNext/>
      <w:tabs>
        <w:tab w:val="num" w:pos="0"/>
      </w:tabs>
      <w:spacing w:before="80" w:after="80"/>
      <w:ind w:hanging="851"/>
      <w:outlineLvl w:val="3"/>
    </w:pPr>
    <w:rPr>
      <w:rFonts w:eastAsiaTheme="minorEastAsia"/>
      <w:b/>
      <w:i/>
      <w:iCs/>
      <w:sz w:val="24"/>
    </w:rPr>
  </w:style>
  <w:style w:type="paragraph" w:styleId="Heading5">
    <w:name w:val="heading 5"/>
    <w:basedOn w:val="Normal"/>
    <w:link w:val="Heading5Char"/>
    <w:qFormat/>
    <w:pPr>
      <w:spacing w:before="80" w:after="80"/>
      <w:outlineLvl w:val="4"/>
    </w:pPr>
    <w:rPr>
      <w:rFonts w:eastAsiaTheme="minorEastAsia"/>
    </w:rPr>
  </w:style>
  <w:style w:type="paragraph" w:styleId="Heading6">
    <w:name w:val="heading 6"/>
    <w:basedOn w:val="Normal"/>
    <w:next w:val="Heading7"/>
    <w:link w:val="Heading6Char"/>
    <w:qFormat/>
    <w:pPr>
      <w:spacing w:before="80" w:after="80"/>
      <w:outlineLvl w:val="5"/>
    </w:pPr>
    <w:rPr>
      <w:rFonts w:eastAsiaTheme="minorEastAsia"/>
      <w:i/>
      <w:iCs/>
    </w:rPr>
  </w:style>
  <w:style w:type="paragraph" w:styleId="Heading7">
    <w:name w:val="heading 7"/>
    <w:basedOn w:val="Normal"/>
    <w:next w:val="Normal"/>
    <w:link w:val="Heading7Char"/>
    <w:qFormat/>
    <w:pPr>
      <w:tabs>
        <w:tab w:val="num" w:pos="360"/>
      </w:tabs>
      <w:spacing w:before="80" w:after="80"/>
      <w:outlineLvl w:val="6"/>
    </w:pPr>
  </w:style>
  <w:style w:type="paragraph" w:styleId="Heading8">
    <w:name w:val="heading 8"/>
    <w:basedOn w:val="Normal"/>
    <w:next w:val="Normal"/>
    <w:link w:val="Heading8Char"/>
    <w:qFormat/>
    <w:pPr>
      <w:tabs>
        <w:tab w:val="num" w:pos="360"/>
      </w:tabs>
      <w:spacing w:before="80" w:after="80"/>
      <w:outlineLvl w:val="7"/>
    </w:pPr>
  </w:style>
  <w:style w:type="paragraph" w:styleId="Heading9">
    <w:name w:val="heading 9"/>
    <w:basedOn w:val="Normal"/>
    <w:next w:val="Normal"/>
    <w:link w:val="Heading9Char"/>
    <w:qFormat/>
    <w:pPr>
      <w:tabs>
        <w:tab w:val="num" w:pos="360"/>
      </w:tabs>
      <w:spacing w:before="80" w:after="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Address">
    <w:name w:val="HTML Address"/>
    <w:basedOn w:val="Normal"/>
    <w:link w:val="HTMLAddressChar"/>
    <w:rPr>
      <w:rFonts w:eastAsiaTheme="minorEastAsia"/>
      <w:i/>
      <w:iCs/>
    </w:rPr>
  </w:style>
  <w:style w:type="character" w:customStyle="1" w:styleId="HTMLAddressChar">
    <w:name w:val="HTML Address Char"/>
    <w:basedOn w:val="DefaultParagraphFont"/>
    <w:link w:val="HTMLAddress"/>
    <w:rPr>
      <w:i/>
      <w:iCs/>
      <w:sz w:val="22"/>
    </w:rPr>
  </w:style>
  <w:style w:type="character" w:styleId="HTMLCode">
    <w:name w:val="HTML Code"/>
    <w:basedOn w:val="DefaultParagraphFont"/>
    <w:rPr>
      <w:rFonts w:ascii="Courier New" w:eastAsia="Times New Roman" w:hAnsi="Courier New" w:cs="Times New Roman" w:hint="default"/>
      <w:sz w:val="20"/>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pPr>
      <w:spacing w:after="260"/>
      <w:jc w:val="both"/>
    </w:p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2"/>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 w:val="22"/>
    </w:rPr>
  </w:style>
  <w:style w:type="character" w:styleId="HTMLKeyboard">
    <w:name w:val="HTML Keyboard"/>
    <w:basedOn w:val="DefaultParagraphFont"/>
    <w:rPr>
      <w:rFonts w:ascii="Courier New" w:eastAsia="Times New Roman" w:hAnsi="Courier New" w:cs="Times New Roman" w:hint="default"/>
      <w:sz w:val="20"/>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Pr>
      <w:rFonts w:ascii="Consolas" w:hAnsi="Consolas" w:cs="Consolas"/>
    </w:rPr>
  </w:style>
  <w:style w:type="character" w:styleId="HTMLSample">
    <w:name w:val="HTML Sample"/>
    <w:basedOn w:val="DefaultParagraphFont"/>
    <w:rPr>
      <w:rFonts w:ascii="Courier New" w:eastAsia="Times New Roman" w:hAnsi="Courier New" w:cs="Times New Roman" w:hint="default"/>
    </w:rPr>
  </w:style>
  <w:style w:type="character" w:styleId="HTMLTypewriter">
    <w:name w:val="HTML Typewriter"/>
    <w:basedOn w:val="DefaultParagraphFont"/>
    <w:rPr>
      <w:rFonts w:ascii="Courier New" w:eastAsia="Times New Roman" w:hAnsi="Courier New" w:cs="Times New Roman" w:hint="default"/>
      <w:sz w:val="20"/>
      <w:szCs w:val="20"/>
    </w:rPr>
  </w:style>
  <w:style w:type="paragraph" w:styleId="NormalWeb">
    <w:name w:val="Normal (Web)"/>
    <w:basedOn w:val="Normal"/>
    <w:rPr>
      <w:sz w:val="24"/>
      <w:szCs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paragraph" w:styleId="Index2">
    <w:name w:val="index 2"/>
    <w:basedOn w:val="Normal"/>
    <w:autoRedefine/>
    <w:semiHidden/>
    <w:pPr>
      <w:ind w:left="1520"/>
    </w:pPr>
  </w:style>
  <w:style w:type="paragraph" w:styleId="Index1">
    <w:name w:val="index 1"/>
    <w:basedOn w:val="Normal"/>
    <w:next w:val="Index2"/>
    <w:autoRedefine/>
    <w:semiHidden/>
    <w:pPr>
      <w:spacing w:before="200"/>
      <w:ind w:left="851"/>
    </w:pPr>
    <w:rPr>
      <w:b/>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TOC1">
    <w:name w:val="toc 1"/>
    <w:basedOn w:val="Normal"/>
    <w:autoRedefine/>
    <w:semiHidden/>
    <w:pPr>
      <w:tabs>
        <w:tab w:val="left" w:pos="709"/>
        <w:tab w:val="right" w:pos="8505"/>
      </w:tabs>
      <w:spacing w:before="260" w:after="60"/>
      <w:ind w:left="709" w:right="567" w:hanging="709"/>
    </w:pPr>
    <w:rPr>
      <w:b/>
      <w:noProof/>
      <w:sz w:val="28"/>
      <w:szCs w:val="32"/>
    </w:rPr>
  </w:style>
  <w:style w:type="paragraph" w:styleId="TOC2">
    <w:name w:val="toc 2"/>
    <w:basedOn w:val="Normal"/>
    <w:autoRedefine/>
    <w:semiHidden/>
    <w:pPr>
      <w:tabs>
        <w:tab w:val="left" w:pos="709"/>
        <w:tab w:val="right" w:pos="8505"/>
      </w:tabs>
      <w:ind w:left="709" w:right="567" w:hanging="709"/>
    </w:pPr>
    <w:rPr>
      <w:noProof/>
      <w:sz w:val="24"/>
      <w:szCs w:val="28"/>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tabs>
        <w:tab w:val="right" w:leader="dot" w:pos="7928"/>
      </w:tabs>
    </w:pPr>
    <w:rPr>
      <w:noProof/>
      <w:szCs w:val="22"/>
    </w:rPr>
  </w:style>
  <w:style w:type="paragraph" w:styleId="NormalIndent">
    <w:name w:val="Normal Indent"/>
    <w:basedOn w:val="Normal"/>
    <w:pPr>
      <w:ind w:left="720"/>
    </w:p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tyle>
  <w:style w:type="paragraph" w:styleId="Header">
    <w:name w:val="header"/>
    <w:basedOn w:val="Normal"/>
    <w:next w:val="Normal"/>
    <w:link w:val="HeaderChar"/>
    <w:pPr>
      <w:spacing w:after="40"/>
      <w:jc w:val="right"/>
    </w:pPr>
    <w:rPr>
      <w:i/>
      <w:sz w:val="18"/>
    </w:rPr>
  </w:style>
  <w:style w:type="character" w:customStyle="1" w:styleId="HeaderChar">
    <w:name w:val="Header Char"/>
    <w:basedOn w:val="DefaultParagraphFont"/>
    <w:link w:val="Header"/>
    <w:rPr>
      <w:sz w:val="22"/>
    </w:rPr>
  </w:style>
  <w:style w:type="paragraph" w:styleId="Footer">
    <w:name w:val="footer"/>
    <w:basedOn w:val="Normal"/>
    <w:next w:val="Normal"/>
    <w:link w:val="FooterChar"/>
    <w:pPr>
      <w:tabs>
        <w:tab w:val="center" w:pos="4819"/>
        <w:tab w:val="right" w:pos="9071"/>
      </w:tabs>
    </w:pPr>
    <w:rPr>
      <w:sz w:val="18"/>
    </w:rPr>
  </w:style>
  <w:style w:type="character" w:customStyle="1" w:styleId="FooterChar">
    <w:name w:val="Footer Char"/>
    <w:basedOn w:val="DefaultParagraphFont"/>
    <w:link w:val="Footer"/>
    <w:rPr>
      <w:sz w:val="22"/>
    </w:rPr>
  </w:style>
  <w:style w:type="paragraph" w:styleId="IndexHeading">
    <w:name w:val="index heading"/>
    <w:basedOn w:val="Normal"/>
    <w:next w:val="Index1"/>
    <w:semiHidden/>
    <w:rPr>
      <w:rFonts w:ascii="Arial" w:hAnsi="Arial" w:cs="Arial"/>
      <w:b/>
      <w:bCs/>
    </w:rPr>
  </w:style>
  <w:style w:type="paragraph" w:customStyle="1" w:styleId="Graphic">
    <w:name w:val="Graphic"/>
    <w:basedOn w:val="Text"/>
    <w:pPr>
      <w:keepNext/>
      <w:spacing w:after="130"/>
      <w:jc w:val="center"/>
    </w:pPr>
  </w:style>
  <w:style w:type="paragraph" w:styleId="Caption">
    <w:name w:val="caption"/>
    <w:basedOn w:val="Normal"/>
    <w:next w:val="Graphic"/>
    <w:qFormat/>
    <w:pPr>
      <w:keepNext/>
      <w:keepLines/>
      <w:spacing w:before="130" w:after="130"/>
    </w:pPr>
    <w:rPr>
      <w:b/>
    </w:rPr>
  </w:style>
  <w:style w:type="paragraph" w:styleId="TableofFigures">
    <w:name w:val="table of figures"/>
    <w:basedOn w:val="Normal"/>
    <w:next w:val="Normal"/>
    <w:semiHidden/>
    <w:pPr>
      <w:ind w:left="440" w:hanging="440"/>
    </w:pPr>
  </w:style>
  <w:style w:type="paragraph" w:styleId="EndnoteText">
    <w:name w:val="endnote text"/>
    <w:basedOn w:val="Normal"/>
    <w:link w:val="EndnoteTextChar"/>
    <w:semiHidden/>
    <w:pPr>
      <w:spacing w:after="180"/>
    </w:pPr>
    <w:rPr>
      <w:sz w:val="18"/>
    </w:rPr>
  </w:style>
  <w:style w:type="character" w:customStyle="1" w:styleId="EndnoteTextChar">
    <w:name w:val="Endnote Text Char"/>
    <w:basedOn w:val="DefaultParagraphFont"/>
    <w:link w:val="EndnoteText"/>
  </w:style>
  <w:style w:type="paragraph" w:styleId="TableofAuthorities">
    <w:name w:val="table of authorities"/>
    <w:basedOn w:val="Normal"/>
    <w:next w:val="Normal"/>
    <w:semiHidden/>
    <w:pPr>
      <w:ind w:left="220" w:hanging="22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djustRightInd w:val="0"/>
    </w:pPr>
    <w:rPr>
      <w:rFonts w:ascii="Courier New" w:hAnsi="Courier New" w:cs="Courier New"/>
    </w:rPr>
  </w:style>
  <w:style w:type="character" w:customStyle="1" w:styleId="MacroTextChar">
    <w:name w:val="Macro Text Char"/>
    <w:basedOn w:val="DefaultParagraphFont"/>
    <w:link w:val="MacroText"/>
    <w:rPr>
      <w:rFonts w:ascii="Consolas" w:hAnsi="Consolas" w:cs="Consolas"/>
    </w:rPr>
  </w:style>
  <w:style w:type="paragraph" w:styleId="TOAHeading">
    <w:name w:val="toa heading"/>
    <w:basedOn w:val="Normal"/>
    <w:next w:val="Normal"/>
    <w:semiHidden/>
    <w:pPr>
      <w:spacing w:before="120"/>
    </w:pPr>
    <w:rPr>
      <w:rFonts w:ascii="Arial" w:hAnsi="Arial" w:cs="Arial"/>
      <w:b/>
      <w:bCs/>
      <w:sz w:val="24"/>
      <w:szCs w:val="24"/>
    </w:rPr>
  </w:style>
  <w:style w:type="paragraph" w:styleId="List">
    <w:name w:val="List"/>
    <w:basedOn w:val="Normal"/>
    <w:pPr>
      <w:ind w:left="283" w:hanging="283"/>
    </w:pPr>
  </w:style>
  <w:style w:type="paragraph" w:styleId="ListBullet">
    <w:name w:val="List Bullet"/>
    <w:basedOn w:val="Normal"/>
    <w:pPr>
      <w:tabs>
        <w:tab w:val="num" w:pos="360"/>
        <w:tab w:val="left" w:pos="397"/>
        <w:tab w:val="num" w:pos="720"/>
      </w:tabs>
      <w:spacing w:after="220"/>
      <w:jc w:val="both"/>
    </w:pPr>
  </w:style>
  <w:style w:type="paragraph" w:styleId="ListNumber">
    <w:name w:val="List Number"/>
    <w:basedOn w:val="Normal"/>
    <w:pPr>
      <w:spacing w:before="130"/>
      <w:ind w:left="284" w:hanging="284"/>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tabs>
        <w:tab w:val="num" w:pos="360"/>
        <w:tab w:val="left" w:pos="794"/>
      </w:tabs>
      <w:spacing w:after="220"/>
      <w:jc w:val="both"/>
    </w:pPr>
  </w:style>
  <w:style w:type="paragraph" w:styleId="ListBullet3">
    <w:name w:val="List Bullet 3"/>
    <w:basedOn w:val="Normal"/>
    <w:autoRedefine/>
    <w:pPr>
      <w:tabs>
        <w:tab w:val="num" w:pos="360"/>
        <w:tab w:val="left" w:pos="1191"/>
      </w:tabs>
      <w:spacing w:after="220"/>
    </w:pPr>
  </w:style>
  <w:style w:type="paragraph" w:styleId="ListBullet4">
    <w:name w:val="List Bullet 4"/>
    <w:basedOn w:val="Normal"/>
    <w:autoRedefine/>
    <w:pPr>
      <w:tabs>
        <w:tab w:val="num" w:pos="360"/>
        <w:tab w:val="left" w:pos="1588"/>
      </w:tabs>
      <w:spacing w:after="220"/>
    </w:pPr>
  </w:style>
  <w:style w:type="paragraph" w:styleId="ListBullet5">
    <w:name w:val="List Bullet 5"/>
    <w:basedOn w:val="Normal"/>
    <w:autoRedefine/>
    <w:pPr>
      <w:tabs>
        <w:tab w:val="num" w:pos="360"/>
        <w:tab w:val="left" w:pos="1985"/>
      </w:tabs>
      <w:spacing w:after="220"/>
    </w:pPr>
  </w:style>
  <w:style w:type="paragraph" w:styleId="ListNumber2">
    <w:name w:val="List Number 2"/>
    <w:basedOn w:val="ListBullet2"/>
    <w:pPr>
      <w:tabs>
        <w:tab w:val="clear" w:pos="360"/>
      </w:tabs>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sz w:val="22"/>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sz w:val="22"/>
    </w:r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rPr>
  </w:style>
  <w:style w:type="paragraph" w:styleId="Date">
    <w:name w:val="Date"/>
    <w:basedOn w:val="Normal"/>
    <w:next w:val="Normal"/>
    <w:link w:val="DateChar"/>
  </w:style>
  <w:style w:type="character" w:customStyle="1" w:styleId="DateChar">
    <w:name w:val="Date Char"/>
    <w:basedOn w:val="DefaultParagraphFont"/>
    <w:link w:val="Date"/>
    <w:rPr>
      <w:sz w:val="22"/>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2"/>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rPr>
      <w:rFonts w:ascii="Tahoma" w:hAnsi="Tahoma" w:cs="Tahoma"/>
      <w:sz w:val="16"/>
      <w:szCs w:val="16"/>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nsolas" w:hAnsi="Consolas" w:cs="Consolas"/>
      <w:sz w:val="21"/>
      <w:szCs w:val="21"/>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2"/>
    </w:rPr>
  </w:style>
  <w:style w:type="paragraph" w:customStyle="1" w:styleId="1point">
    <w:name w:val="1 point"/>
    <w:pPr>
      <w:jc w:val="center"/>
    </w:pPr>
    <w:rPr>
      <w:rFonts w:ascii="Tms Rmn" w:hAnsi="Tms Rmn"/>
      <w:sz w:val="2"/>
    </w:rPr>
  </w:style>
  <w:style w:type="paragraph" w:customStyle="1" w:styleId="AlignBrackets">
    <w:name w:val="AlignBrackets"/>
    <w:basedOn w:val="Normal"/>
    <w:pPr>
      <w:ind w:left="153" w:right="-57" w:hanging="153"/>
      <w:jc w:val="right"/>
    </w:pPr>
    <w:rPr>
      <w:sz w:val="18"/>
    </w:rPr>
  </w:style>
  <w:style w:type="paragraph" w:customStyle="1" w:styleId="AlignBracketsOne">
    <w:name w:val="AlignBracketsOne"/>
    <w:basedOn w:val="Normal"/>
    <w:pPr>
      <w:ind w:left="153" w:hanging="153"/>
      <w:jc w:val="right"/>
    </w:pPr>
    <w:rPr>
      <w:sz w:val="18"/>
    </w:rPr>
  </w:style>
  <w:style w:type="paragraph" w:customStyle="1" w:styleId="AlignBracketsTwo">
    <w:name w:val="AlignBracketsTwo"/>
    <w:basedOn w:val="Normal"/>
    <w:pPr>
      <w:ind w:left="153" w:right="57" w:hanging="153"/>
      <w:jc w:val="right"/>
    </w:pPr>
    <w:rPr>
      <w:sz w:val="18"/>
    </w:rPr>
  </w:style>
  <w:style w:type="paragraph" w:customStyle="1" w:styleId="Tabletext">
    <w:name w:val="Tabletext"/>
    <w:basedOn w:val="Normal"/>
    <w:rPr>
      <w:sz w:val="18"/>
    </w:rPr>
  </w:style>
  <w:style w:type="paragraph" w:customStyle="1" w:styleId="AlignWithoutBrackets">
    <w:name w:val="AlignWithoutBrackets"/>
    <w:basedOn w:val="Tabletext"/>
    <w:pPr>
      <w:jc w:val="right"/>
    </w:pPr>
  </w:style>
  <w:style w:type="paragraph" w:customStyle="1" w:styleId="AlignWithoutOne">
    <w:name w:val="AlignWithoutOne"/>
    <w:basedOn w:val="Normal"/>
    <w:pPr>
      <w:ind w:left="153" w:right="57" w:hanging="153"/>
      <w:jc w:val="right"/>
    </w:pPr>
    <w:rPr>
      <w:sz w:val="18"/>
    </w:rPr>
  </w:style>
  <w:style w:type="paragraph" w:customStyle="1" w:styleId="AlignWithoutTwo">
    <w:name w:val="AlignWithoutTwo"/>
    <w:basedOn w:val="Normal"/>
    <w:pPr>
      <w:ind w:left="153" w:right="113" w:hanging="153"/>
      <w:jc w:val="right"/>
    </w:pPr>
    <w:rPr>
      <w:sz w:val="18"/>
    </w:rPr>
  </w:style>
  <w:style w:type="paragraph" w:customStyle="1" w:styleId="AppendixHeader">
    <w:name w:val="Appendix Header"/>
    <w:basedOn w:val="Normal"/>
    <w:pPr>
      <w:keepNext/>
      <w:pageBreakBefore/>
      <w:tabs>
        <w:tab w:val="num" w:pos="0"/>
      </w:tabs>
      <w:spacing w:after="600"/>
    </w:pPr>
    <w:rPr>
      <w:b/>
      <w:sz w:val="32"/>
    </w:rPr>
  </w:style>
  <w:style w:type="paragraph" w:customStyle="1" w:styleId="AppendixHeaderSmall">
    <w:name w:val="Appendix Header Small"/>
    <w:next w:val="Text"/>
    <w:pPr>
      <w:overflowPunct w:val="0"/>
      <w:adjustRightInd w:val="0"/>
    </w:pPr>
    <w:rPr>
      <w:rFonts w:ascii="Tms Rmn" w:hAnsi="Tms Rmn"/>
      <w:b/>
      <w:noProof/>
      <w:sz w:val="26"/>
    </w:rPr>
  </w:style>
  <w:style w:type="paragraph" w:customStyle="1" w:styleId="Bullet">
    <w:name w:val="Bullet"/>
    <w:basedOn w:val="Normal"/>
    <w:pPr>
      <w:tabs>
        <w:tab w:val="left" w:pos="284"/>
        <w:tab w:val="num" w:pos="360"/>
      </w:tabs>
      <w:spacing w:after="130"/>
      <w:jc w:val="both"/>
    </w:pPr>
  </w:style>
  <w:style w:type="paragraph" w:customStyle="1" w:styleId="ContentsHeading">
    <w:name w:val="Contents Heading"/>
    <w:pPr>
      <w:spacing w:after="600"/>
    </w:pPr>
    <w:rPr>
      <w:b/>
      <w:sz w:val="32"/>
    </w:rPr>
  </w:style>
  <w:style w:type="paragraph" w:customStyle="1" w:styleId="CoverBranding">
    <w:name w:val="Cover Branding"/>
    <w:pPr>
      <w:spacing w:before="40" w:after="40"/>
      <w:jc w:val="center"/>
    </w:pPr>
    <w:rPr>
      <w:rFonts w:ascii="Tms Rmn" w:hAnsi="Tms Rmn"/>
    </w:rPr>
  </w:style>
  <w:style w:type="paragraph" w:customStyle="1" w:styleId="CoverClientName">
    <w:name w:val="Cover Client Name"/>
    <w:pPr>
      <w:spacing w:before="80" w:after="520"/>
      <w:jc w:val="center"/>
    </w:pPr>
    <w:rPr>
      <w:rFonts w:ascii="Tms Rmn" w:hAnsi="Tms Rmn"/>
      <w:b/>
      <w:sz w:val="26"/>
    </w:rPr>
  </w:style>
  <w:style w:type="paragraph" w:customStyle="1" w:styleId="CoverDate">
    <w:name w:val="Cover Date"/>
    <w:pPr>
      <w:spacing w:before="40" w:after="40"/>
      <w:jc w:val="center"/>
    </w:pPr>
    <w:rPr>
      <w:rFonts w:ascii="Tms Rmn" w:hAnsi="Tms Rmn"/>
    </w:rPr>
  </w:style>
  <w:style w:type="paragraph" w:customStyle="1" w:styleId="CoverNumberOfPages">
    <w:name w:val="Cover NumberOfPages"/>
    <w:pPr>
      <w:spacing w:before="40" w:after="40"/>
      <w:jc w:val="center"/>
    </w:pPr>
    <w:rPr>
      <w:rFonts w:ascii="Tms Rmn" w:hAnsi="Tms Rmn"/>
      <w:i/>
    </w:rPr>
  </w:style>
  <w:style w:type="paragraph" w:customStyle="1" w:styleId="CoverReference">
    <w:name w:val="Cover Reference"/>
    <w:pPr>
      <w:spacing w:before="40" w:after="40"/>
      <w:jc w:val="center"/>
    </w:pPr>
    <w:rPr>
      <w:rFonts w:ascii="Tms Rmn" w:hAnsi="Tms Rmn"/>
    </w:rPr>
  </w:style>
  <w:style w:type="paragraph" w:customStyle="1" w:styleId="CoverSubTitle">
    <w:name w:val="Cover SubTitle"/>
    <w:pPr>
      <w:spacing w:line="440" w:lineRule="exact"/>
      <w:jc w:val="center"/>
    </w:pPr>
    <w:rPr>
      <w:rFonts w:ascii="Tms Rmn" w:hAnsi="Tms Rmn"/>
      <w:sz w:val="32"/>
    </w:rPr>
  </w:style>
  <w:style w:type="paragraph" w:customStyle="1" w:styleId="CoverTitle">
    <w:name w:val="Cover Title"/>
    <w:pPr>
      <w:tabs>
        <w:tab w:val="num" w:pos="360"/>
      </w:tabs>
      <w:spacing w:line="440" w:lineRule="exact"/>
      <w:jc w:val="center"/>
    </w:pPr>
    <w:rPr>
      <w:rFonts w:ascii="Tms Rmn" w:hAnsi="Tms Rmn"/>
      <w:sz w:val="36"/>
    </w:rPr>
  </w:style>
  <w:style w:type="paragraph" w:customStyle="1" w:styleId="Tablehead">
    <w:name w:val="Tablehead"/>
    <w:basedOn w:val="Normal"/>
    <w:pPr>
      <w:spacing w:before="130"/>
      <w:jc w:val="right"/>
    </w:pPr>
    <w:rPr>
      <w:sz w:val="18"/>
    </w:rPr>
  </w:style>
  <w:style w:type="paragraph" w:customStyle="1" w:styleId="Denomination">
    <w:name w:val="Denomination"/>
    <w:basedOn w:val="Tablehead"/>
    <w:pPr>
      <w:spacing w:before="0"/>
    </w:pPr>
  </w:style>
  <w:style w:type="paragraph" w:customStyle="1" w:styleId="Denomination1">
    <w:name w:val="Denomination1"/>
    <w:basedOn w:val="Normal"/>
    <w:pPr>
      <w:ind w:right="113"/>
      <w:jc w:val="right"/>
    </w:pPr>
    <w:rPr>
      <w:sz w:val="18"/>
    </w:rPr>
  </w:style>
  <w:style w:type="paragraph" w:customStyle="1" w:styleId="Denomination2">
    <w:name w:val="Denomination2"/>
    <w:basedOn w:val="Normal"/>
    <w:pPr>
      <w:ind w:right="113"/>
      <w:jc w:val="right"/>
    </w:pPr>
    <w:rPr>
      <w:sz w:val="18"/>
    </w:rPr>
  </w:style>
  <w:style w:type="paragraph" w:customStyle="1" w:styleId="Double">
    <w:name w:val="Double"/>
    <w:basedOn w:val="Normal"/>
    <w:pPr>
      <w:spacing w:after="130"/>
      <w:jc w:val="right"/>
    </w:pPr>
    <w:rPr>
      <w:u w:val="double"/>
    </w:rPr>
  </w:style>
  <w:style w:type="paragraph" w:customStyle="1" w:styleId="GlossaryHeader">
    <w:name w:val="Glossary Header"/>
    <w:next w:val="Normal"/>
    <w:pPr>
      <w:overflowPunct w:val="0"/>
      <w:adjustRightInd w:val="0"/>
    </w:pPr>
    <w:rPr>
      <w:noProof/>
      <w:sz w:val="36"/>
    </w:rPr>
  </w:style>
  <w:style w:type="paragraph" w:customStyle="1" w:styleId="GlossaryText">
    <w:name w:val="Glossary Text"/>
    <w:basedOn w:val="Normal"/>
    <w:pPr>
      <w:tabs>
        <w:tab w:val="left" w:pos="2835"/>
      </w:tabs>
      <w:spacing w:before="260"/>
      <w:jc w:val="both"/>
    </w:pPr>
  </w:style>
  <w:style w:type="paragraph" w:customStyle="1" w:styleId="KPMGLargelogo">
    <w:name w:val="KPMG Large logo"/>
    <w:basedOn w:val="Normal"/>
    <w:pPr>
      <w:jc w:val="both"/>
    </w:pPr>
    <w:rPr>
      <w:rFonts w:ascii="KPMG Logo" w:hAnsi="KPMG Logo"/>
      <w:sz w:val="44"/>
    </w:rPr>
  </w:style>
  <w:style w:type="paragraph" w:customStyle="1" w:styleId="KPMGSmalllogo">
    <w:name w:val="KPMG Small logo"/>
    <w:basedOn w:val="Normal"/>
    <w:pPr>
      <w:keepLines/>
    </w:pPr>
    <w:rPr>
      <w:rFonts w:ascii="KPMG Logo" w:hAnsi="KPMG Logo"/>
      <w:sz w:val="26"/>
    </w:rPr>
  </w:style>
  <w:style w:type="paragraph" w:customStyle="1" w:styleId="ObjectiveBullet">
    <w:name w:val="ObjectiveBullet"/>
    <w:basedOn w:val="Normal"/>
  </w:style>
  <w:style w:type="paragraph" w:customStyle="1" w:styleId="Objective">
    <w:name w:val="Objective"/>
    <w:basedOn w:val="Text"/>
    <w:next w:val="ObjectiveBullet"/>
    <w:pPr>
      <w:ind w:left="992" w:hanging="992"/>
    </w:pPr>
    <w:rPr>
      <w:b/>
      <w:i/>
      <w:sz w:val="18"/>
    </w:rPr>
  </w:style>
  <w:style w:type="paragraph" w:customStyle="1" w:styleId="PageNumber1">
    <w:name w:val="Page Number1"/>
    <w:basedOn w:val="Normal"/>
    <w:pPr>
      <w:tabs>
        <w:tab w:val="center" w:pos="4320"/>
        <w:tab w:val="right" w:pos="8640"/>
      </w:tabs>
      <w:jc w:val="center"/>
    </w:pPr>
  </w:style>
  <w:style w:type="paragraph" w:customStyle="1" w:styleId="RunningTitle">
    <w:name w:val="Running Title"/>
    <w:basedOn w:val="Normal"/>
    <w:pPr>
      <w:spacing w:line="220" w:lineRule="exact"/>
      <w:jc w:val="right"/>
    </w:pPr>
    <w:rPr>
      <w:i/>
      <w:sz w:val="18"/>
    </w:rPr>
  </w:style>
  <w:style w:type="paragraph" w:customStyle="1" w:styleId="Single">
    <w:name w:val="Single"/>
    <w:basedOn w:val="Normal"/>
    <w:pPr>
      <w:spacing w:after="130"/>
      <w:jc w:val="right"/>
    </w:pPr>
    <w:rPr>
      <w:u w:val="single"/>
    </w:rPr>
  </w:style>
  <w:style w:type="paragraph" w:customStyle="1" w:styleId="Source">
    <w:name w:val="Source"/>
    <w:basedOn w:val="Normal"/>
    <w:next w:val="Text"/>
    <w:pPr>
      <w:keepLines/>
      <w:spacing w:after="130" w:line="260" w:lineRule="exact"/>
      <w:jc w:val="both"/>
    </w:pPr>
    <w:rPr>
      <w:i/>
      <w:sz w:val="18"/>
    </w:rPr>
  </w:style>
  <w:style w:type="paragraph" w:customStyle="1" w:styleId="SubCoverTitle">
    <w:name w:val="Sub Cover Title"/>
    <w:basedOn w:val="Normal"/>
    <w:pPr>
      <w:framePr w:w="5999" w:hSpace="180" w:vSpace="180" w:wrap="auto" w:vAnchor="page" w:hAnchor="text" w:xAlign="center" w:y="3841"/>
      <w:spacing w:line="440" w:lineRule="exact"/>
      <w:ind w:left="567"/>
    </w:pPr>
    <w:rPr>
      <w:sz w:val="26"/>
    </w:rPr>
  </w:style>
  <w:style w:type="paragraph" w:customStyle="1" w:styleId="Tablehead1">
    <w:name w:val="Tablehead1"/>
    <w:basedOn w:val="Normal"/>
    <w:pPr>
      <w:spacing w:before="130"/>
      <w:ind w:right="113"/>
      <w:jc w:val="right"/>
    </w:pPr>
    <w:rPr>
      <w:sz w:val="18"/>
    </w:rPr>
  </w:style>
  <w:style w:type="paragraph" w:customStyle="1" w:styleId="Tablenums">
    <w:name w:val="Tablenums"/>
    <w:basedOn w:val="Normal"/>
    <w:pPr>
      <w:tabs>
        <w:tab w:val="decimal" w:pos="794"/>
      </w:tabs>
    </w:pPr>
    <w:rPr>
      <w:sz w:val="18"/>
    </w:rPr>
  </w:style>
  <w:style w:type="character" w:styleId="FootnoteReference">
    <w:name w:val="footnote reference"/>
    <w:basedOn w:val="DefaultParagraphFont"/>
    <w:semiHidden/>
    <w:rPr>
      <w:rFonts w:ascii="Times New Roman" w:hAnsi="Times New Roman" w:cs="Times New Roman" w:hint="default"/>
      <w:color w:val="auto"/>
      <w:sz w:val="18"/>
      <w:vertAlign w:val="superscript"/>
    </w:rPr>
  </w:style>
  <w:style w:type="character" w:styleId="CommentReference">
    <w:name w:val="annotation reference"/>
    <w:basedOn w:val="DefaultParagraphFont"/>
    <w:semiHidden/>
    <w:rPr>
      <w:sz w:val="16"/>
    </w:rPr>
  </w:style>
  <w:style w:type="character" w:styleId="EndnoteReference">
    <w:name w:val="endnote reference"/>
    <w:basedOn w:val="DefaultParagraphFont"/>
    <w:semiHidden/>
    <w:rPr>
      <w:color w:val="auto"/>
      <w:vertAlign w:val="superscript"/>
    </w:rPr>
  </w:style>
  <w:style w:type="character" w:customStyle="1" w:styleId="ContentsPageNumber">
    <w:name w:val="Contents Page Number"/>
    <w:basedOn w:val="DefaultParagraphFont"/>
    <w:rPr>
      <w:rFonts w:ascii="Times New Roman" w:hAnsi="Times New Roman" w:cs="Times New Roman" w:hint="default"/>
      <w:sz w:val="22"/>
    </w:rPr>
  </w:style>
  <w:style w:type="table" w:styleId="TableGrid">
    <w:name w:val="Table Grid"/>
    <w:basedOn w:val="TableNormal"/>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djustRightInd w:val="0"/>
    </w:pPr>
    <w:rPr>
      <w:sz w:val="22"/>
    </w:rPr>
  </w:style>
  <w:style w:type="paragraph" w:styleId="Heading1">
    <w:name w:val="heading 1"/>
    <w:basedOn w:val="Normal"/>
    <w:next w:val="Heading2"/>
    <w:link w:val="Heading1Char"/>
    <w:qFormat/>
    <w:pPr>
      <w:keepNext/>
      <w:tabs>
        <w:tab w:val="num" w:pos="0"/>
      </w:tabs>
      <w:spacing w:after="600"/>
      <w:ind w:hanging="851"/>
      <w:outlineLvl w:val="0"/>
    </w:pPr>
    <w:rPr>
      <w:rFonts w:eastAsiaTheme="minorEastAsia"/>
      <w:b/>
      <w:sz w:val="32"/>
    </w:rPr>
  </w:style>
  <w:style w:type="paragraph" w:styleId="Heading2">
    <w:name w:val="heading 2"/>
    <w:basedOn w:val="Normal"/>
    <w:next w:val="Text"/>
    <w:link w:val="Heading2Char"/>
    <w:qFormat/>
    <w:pPr>
      <w:keepNext/>
      <w:tabs>
        <w:tab w:val="num" w:pos="0"/>
      </w:tabs>
      <w:spacing w:before="80" w:after="80"/>
      <w:ind w:hanging="851"/>
      <w:outlineLvl w:val="1"/>
    </w:pPr>
    <w:rPr>
      <w:rFonts w:eastAsiaTheme="minorEastAsia"/>
      <w:iCs/>
      <w:sz w:val="28"/>
    </w:rPr>
  </w:style>
  <w:style w:type="paragraph" w:styleId="Heading3">
    <w:name w:val="heading 3"/>
    <w:basedOn w:val="Normal"/>
    <w:next w:val="Text"/>
    <w:link w:val="Heading3Char"/>
    <w:qFormat/>
    <w:pPr>
      <w:keepNext/>
      <w:tabs>
        <w:tab w:val="num" w:pos="0"/>
      </w:tabs>
      <w:spacing w:before="80" w:after="80"/>
      <w:ind w:hanging="851"/>
      <w:outlineLvl w:val="2"/>
    </w:pPr>
    <w:rPr>
      <w:rFonts w:eastAsiaTheme="minorEastAsia"/>
      <w:b/>
      <w:bCs/>
      <w:iCs/>
      <w:sz w:val="24"/>
    </w:rPr>
  </w:style>
  <w:style w:type="paragraph" w:styleId="Heading4">
    <w:name w:val="heading 4"/>
    <w:basedOn w:val="Normal"/>
    <w:next w:val="Text"/>
    <w:link w:val="Heading4Char"/>
    <w:qFormat/>
    <w:pPr>
      <w:keepNext/>
      <w:tabs>
        <w:tab w:val="num" w:pos="0"/>
      </w:tabs>
      <w:spacing w:before="80" w:after="80"/>
      <w:ind w:hanging="851"/>
      <w:outlineLvl w:val="3"/>
    </w:pPr>
    <w:rPr>
      <w:rFonts w:eastAsiaTheme="minorEastAsia"/>
      <w:b/>
      <w:i/>
      <w:iCs/>
      <w:sz w:val="24"/>
    </w:rPr>
  </w:style>
  <w:style w:type="paragraph" w:styleId="Heading5">
    <w:name w:val="heading 5"/>
    <w:basedOn w:val="Normal"/>
    <w:link w:val="Heading5Char"/>
    <w:qFormat/>
    <w:pPr>
      <w:spacing w:before="80" w:after="80"/>
      <w:outlineLvl w:val="4"/>
    </w:pPr>
    <w:rPr>
      <w:rFonts w:eastAsiaTheme="minorEastAsia"/>
    </w:rPr>
  </w:style>
  <w:style w:type="paragraph" w:styleId="Heading6">
    <w:name w:val="heading 6"/>
    <w:basedOn w:val="Normal"/>
    <w:next w:val="Heading7"/>
    <w:link w:val="Heading6Char"/>
    <w:qFormat/>
    <w:pPr>
      <w:spacing w:before="80" w:after="80"/>
      <w:outlineLvl w:val="5"/>
    </w:pPr>
    <w:rPr>
      <w:rFonts w:eastAsiaTheme="minorEastAsia"/>
      <w:i/>
      <w:iCs/>
    </w:rPr>
  </w:style>
  <w:style w:type="paragraph" w:styleId="Heading7">
    <w:name w:val="heading 7"/>
    <w:basedOn w:val="Normal"/>
    <w:next w:val="Normal"/>
    <w:link w:val="Heading7Char"/>
    <w:qFormat/>
    <w:pPr>
      <w:tabs>
        <w:tab w:val="num" w:pos="360"/>
      </w:tabs>
      <w:spacing w:before="80" w:after="80"/>
      <w:outlineLvl w:val="6"/>
    </w:pPr>
  </w:style>
  <w:style w:type="paragraph" w:styleId="Heading8">
    <w:name w:val="heading 8"/>
    <w:basedOn w:val="Normal"/>
    <w:next w:val="Normal"/>
    <w:link w:val="Heading8Char"/>
    <w:qFormat/>
    <w:pPr>
      <w:tabs>
        <w:tab w:val="num" w:pos="360"/>
      </w:tabs>
      <w:spacing w:before="80" w:after="80"/>
      <w:outlineLvl w:val="7"/>
    </w:pPr>
  </w:style>
  <w:style w:type="paragraph" w:styleId="Heading9">
    <w:name w:val="heading 9"/>
    <w:basedOn w:val="Normal"/>
    <w:next w:val="Normal"/>
    <w:link w:val="Heading9Char"/>
    <w:qFormat/>
    <w:pPr>
      <w:tabs>
        <w:tab w:val="num" w:pos="360"/>
      </w:tabs>
      <w:spacing w:before="80" w:after="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Address">
    <w:name w:val="HTML Address"/>
    <w:basedOn w:val="Normal"/>
    <w:link w:val="HTMLAddressChar"/>
    <w:rPr>
      <w:rFonts w:eastAsiaTheme="minorEastAsia"/>
      <w:i/>
      <w:iCs/>
    </w:rPr>
  </w:style>
  <w:style w:type="character" w:customStyle="1" w:styleId="HTMLAddressChar">
    <w:name w:val="HTML Address Char"/>
    <w:basedOn w:val="DefaultParagraphFont"/>
    <w:link w:val="HTMLAddress"/>
    <w:rPr>
      <w:i/>
      <w:iCs/>
      <w:sz w:val="22"/>
    </w:rPr>
  </w:style>
  <w:style w:type="character" w:styleId="HTMLCode">
    <w:name w:val="HTML Code"/>
    <w:basedOn w:val="DefaultParagraphFont"/>
    <w:rPr>
      <w:rFonts w:ascii="Courier New" w:eastAsia="Times New Roman" w:hAnsi="Courier New" w:cs="Times New Roman" w:hint="default"/>
      <w:sz w:val="20"/>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pPr>
      <w:spacing w:after="260"/>
      <w:jc w:val="both"/>
    </w:p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2"/>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 w:val="22"/>
    </w:rPr>
  </w:style>
  <w:style w:type="character" w:styleId="HTMLKeyboard">
    <w:name w:val="HTML Keyboard"/>
    <w:basedOn w:val="DefaultParagraphFont"/>
    <w:rPr>
      <w:rFonts w:ascii="Courier New" w:eastAsia="Times New Roman" w:hAnsi="Courier New" w:cs="Times New Roman" w:hint="default"/>
      <w:sz w:val="20"/>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Pr>
      <w:rFonts w:ascii="Consolas" w:hAnsi="Consolas" w:cs="Consolas"/>
    </w:rPr>
  </w:style>
  <w:style w:type="character" w:styleId="HTMLSample">
    <w:name w:val="HTML Sample"/>
    <w:basedOn w:val="DefaultParagraphFont"/>
    <w:rPr>
      <w:rFonts w:ascii="Courier New" w:eastAsia="Times New Roman" w:hAnsi="Courier New" w:cs="Times New Roman" w:hint="default"/>
    </w:rPr>
  </w:style>
  <w:style w:type="character" w:styleId="HTMLTypewriter">
    <w:name w:val="HTML Typewriter"/>
    <w:basedOn w:val="DefaultParagraphFont"/>
    <w:rPr>
      <w:rFonts w:ascii="Courier New" w:eastAsia="Times New Roman" w:hAnsi="Courier New" w:cs="Times New Roman" w:hint="default"/>
      <w:sz w:val="20"/>
      <w:szCs w:val="20"/>
    </w:rPr>
  </w:style>
  <w:style w:type="paragraph" w:styleId="NormalWeb">
    <w:name w:val="Normal (Web)"/>
    <w:basedOn w:val="Normal"/>
    <w:rPr>
      <w:sz w:val="24"/>
      <w:szCs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paragraph" w:styleId="Index2">
    <w:name w:val="index 2"/>
    <w:basedOn w:val="Normal"/>
    <w:autoRedefine/>
    <w:semiHidden/>
    <w:pPr>
      <w:ind w:left="1520"/>
    </w:pPr>
  </w:style>
  <w:style w:type="paragraph" w:styleId="Index1">
    <w:name w:val="index 1"/>
    <w:basedOn w:val="Normal"/>
    <w:next w:val="Index2"/>
    <w:autoRedefine/>
    <w:semiHidden/>
    <w:pPr>
      <w:spacing w:before="200"/>
      <w:ind w:left="851"/>
    </w:pPr>
    <w:rPr>
      <w:b/>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TOC1">
    <w:name w:val="toc 1"/>
    <w:basedOn w:val="Normal"/>
    <w:autoRedefine/>
    <w:semiHidden/>
    <w:pPr>
      <w:tabs>
        <w:tab w:val="left" w:pos="709"/>
        <w:tab w:val="right" w:pos="8505"/>
      </w:tabs>
      <w:spacing w:before="260" w:after="60"/>
      <w:ind w:left="709" w:right="567" w:hanging="709"/>
    </w:pPr>
    <w:rPr>
      <w:b/>
      <w:noProof/>
      <w:sz w:val="28"/>
      <w:szCs w:val="32"/>
    </w:rPr>
  </w:style>
  <w:style w:type="paragraph" w:styleId="TOC2">
    <w:name w:val="toc 2"/>
    <w:basedOn w:val="Normal"/>
    <w:autoRedefine/>
    <w:semiHidden/>
    <w:pPr>
      <w:tabs>
        <w:tab w:val="left" w:pos="709"/>
        <w:tab w:val="right" w:pos="8505"/>
      </w:tabs>
      <w:ind w:left="709" w:right="567" w:hanging="709"/>
    </w:pPr>
    <w:rPr>
      <w:noProof/>
      <w:sz w:val="24"/>
      <w:szCs w:val="28"/>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tabs>
        <w:tab w:val="right" w:leader="dot" w:pos="7928"/>
      </w:tabs>
    </w:pPr>
    <w:rPr>
      <w:noProof/>
      <w:szCs w:val="22"/>
    </w:rPr>
  </w:style>
  <w:style w:type="paragraph" w:styleId="NormalIndent">
    <w:name w:val="Normal Indent"/>
    <w:basedOn w:val="Normal"/>
    <w:pPr>
      <w:ind w:left="720"/>
    </w:p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tyle>
  <w:style w:type="paragraph" w:styleId="Header">
    <w:name w:val="header"/>
    <w:basedOn w:val="Normal"/>
    <w:next w:val="Normal"/>
    <w:link w:val="HeaderChar"/>
    <w:pPr>
      <w:spacing w:after="40"/>
      <w:jc w:val="right"/>
    </w:pPr>
    <w:rPr>
      <w:i/>
      <w:sz w:val="18"/>
    </w:rPr>
  </w:style>
  <w:style w:type="character" w:customStyle="1" w:styleId="HeaderChar">
    <w:name w:val="Header Char"/>
    <w:basedOn w:val="DefaultParagraphFont"/>
    <w:link w:val="Header"/>
    <w:rPr>
      <w:sz w:val="22"/>
    </w:rPr>
  </w:style>
  <w:style w:type="paragraph" w:styleId="Footer">
    <w:name w:val="footer"/>
    <w:basedOn w:val="Normal"/>
    <w:next w:val="Normal"/>
    <w:link w:val="FooterChar"/>
    <w:pPr>
      <w:tabs>
        <w:tab w:val="center" w:pos="4819"/>
        <w:tab w:val="right" w:pos="9071"/>
      </w:tabs>
    </w:pPr>
    <w:rPr>
      <w:sz w:val="18"/>
    </w:rPr>
  </w:style>
  <w:style w:type="character" w:customStyle="1" w:styleId="FooterChar">
    <w:name w:val="Footer Char"/>
    <w:basedOn w:val="DefaultParagraphFont"/>
    <w:link w:val="Footer"/>
    <w:rPr>
      <w:sz w:val="22"/>
    </w:rPr>
  </w:style>
  <w:style w:type="paragraph" w:styleId="IndexHeading">
    <w:name w:val="index heading"/>
    <w:basedOn w:val="Normal"/>
    <w:next w:val="Index1"/>
    <w:semiHidden/>
    <w:rPr>
      <w:rFonts w:ascii="Arial" w:hAnsi="Arial" w:cs="Arial"/>
      <w:b/>
      <w:bCs/>
    </w:rPr>
  </w:style>
  <w:style w:type="paragraph" w:customStyle="1" w:styleId="Graphic">
    <w:name w:val="Graphic"/>
    <w:basedOn w:val="Text"/>
    <w:pPr>
      <w:keepNext/>
      <w:spacing w:after="130"/>
      <w:jc w:val="center"/>
    </w:pPr>
  </w:style>
  <w:style w:type="paragraph" w:styleId="Caption">
    <w:name w:val="caption"/>
    <w:basedOn w:val="Normal"/>
    <w:next w:val="Graphic"/>
    <w:qFormat/>
    <w:pPr>
      <w:keepNext/>
      <w:keepLines/>
      <w:spacing w:before="130" w:after="130"/>
    </w:pPr>
    <w:rPr>
      <w:b/>
    </w:rPr>
  </w:style>
  <w:style w:type="paragraph" w:styleId="TableofFigures">
    <w:name w:val="table of figures"/>
    <w:basedOn w:val="Normal"/>
    <w:next w:val="Normal"/>
    <w:semiHidden/>
    <w:pPr>
      <w:ind w:left="440" w:hanging="440"/>
    </w:pPr>
  </w:style>
  <w:style w:type="paragraph" w:styleId="EndnoteText">
    <w:name w:val="endnote text"/>
    <w:basedOn w:val="Normal"/>
    <w:link w:val="EndnoteTextChar"/>
    <w:semiHidden/>
    <w:pPr>
      <w:spacing w:after="180"/>
    </w:pPr>
    <w:rPr>
      <w:sz w:val="18"/>
    </w:rPr>
  </w:style>
  <w:style w:type="character" w:customStyle="1" w:styleId="EndnoteTextChar">
    <w:name w:val="Endnote Text Char"/>
    <w:basedOn w:val="DefaultParagraphFont"/>
    <w:link w:val="EndnoteText"/>
  </w:style>
  <w:style w:type="paragraph" w:styleId="TableofAuthorities">
    <w:name w:val="table of authorities"/>
    <w:basedOn w:val="Normal"/>
    <w:next w:val="Normal"/>
    <w:semiHidden/>
    <w:pPr>
      <w:ind w:left="220" w:hanging="22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djustRightInd w:val="0"/>
    </w:pPr>
    <w:rPr>
      <w:rFonts w:ascii="Courier New" w:hAnsi="Courier New" w:cs="Courier New"/>
    </w:rPr>
  </w:style>
  <w:style w:type="character" w:customStyle="1" w:styleId="MacroTextChar">
    <w:name w:val="Macro Text Char"/>
    <w:basedOn w:val="DefaultParagraphFont"/>
    <w:link w:val="MacroText"/>
    <w:rPr>
      <w:rFonts w:ascii="Consolas" w:hAnsi="Consolas" w:cs="Consolas"/>
    </w:rPr>
  </w:style>
  <w:style w:type="paragraph" w:styleId="TOAHeading">
    <w:name w:val="toa heading"/>
    <w:basedOn w:val="Normal"/>
    <w:next w:val="Normal"/>
    <w:semiHidden/>
    <w:pPr>
      <w:spacing w:before="120"/>
    </w:pPr>
    <w:rPr>
      <w:rFonts w:ascii="Arial" w:hAnsi="Arial" w:cs="Arial"/>
      <w:b/>
      <w:bCs/>
      <w:sz w:val="24"/>
      <w:szCs w:val="24"/>
    </w:rPr>
  </w:style>
  <w:style w:type="paragraph" w:styleId="List">
    <w:name w:val="List"/>
    <w:basedOn w:val="Normal"/>
    <w:pPr>
      <w:ind w:left="283" w:hanging="283"/>
    </w:pPr>
  </w:style>
  <w:style w:type="paragraph" w:styleId="ListBullet">
    <w:name w:val="List Bullet"/>
    <w:basedOn w:val="Normal"/>
    <w:pPr>
      <w:tabs>
        <w:tab w:val="num" w:pos="360"/>
        <w:tab w:val="left" w:pos="397"/>
        <w:tab w:val="num" w:pos="720"/>
      </w:tabs>
      <w:spacing w:after="220"/>
      <w:jc w:val="both"/>
    </w:pPr>
  </w:style>
  <w:style w:type="paragraph" w:styleId="ListNumber">
    <w:name w:val="List Number"/>
    <w:basedOn w:val="Normal"/>
    <w:pPr>
      <w:spacing w:before="130"/>
      <w:ind w:left="284" w:hanging="284"/>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tabs>
        <w:tab w:val="num" w:pos="360"/>
        <w:tab w:val="left" w:pos="794"/>
      </w:tabs>
      <w:spacing w:after="220"/>
      <w:jc w:val="both"/>
    </w:pPr>
  </w:style>
  <w:style w:type="paragraph" w:styleId="ListBullet3">
    <w:name w:val="List Bullet 3"/>
    <w:basedOn w:val="Normal"/>
    <w:autoRedefine/>
    <w:pPr>
      <w:tabs>
        <w:tab w:val="num" w:pos="360"/>
        <w:tab w:val="left" w:pos="1191"/>
      </w:tabs>
      <w:spacing w:after="220"/>
    </w:pPr>
  </w:style>
  <w:style w:type="paragraph" w:styleId="ListBullet4">
    <w:name w:val="List Bullet 4"/>
    <w:basedOn w:val="Normal"/>
    <w:autoRedefine/>
    <w:pPr>
      <w:tabs>
        <w:tab w:val="num" w:pos="360"/>
        <w:tab w:val="left" w:pos="1588"/>
      </w:tabs>
      <w:spacing w:after="220"/>
    </w:pPr>
  </w:style>
  <w:style w:type="paragraph" w:styleId="ListBullet5">
    <w:name w:val="List Bullet 5"/>
    <w:basedOn w:val="Normal"/>
    <w:autoRedefine/>
    <w:pPr>
      <w:tabs>
        <w:tab w:val="num" w:pos="360"/>
        <w:tab w:val="left" w:pos="1985"/>
      </w:tabs>
      <w:spacing w:after="220"/>
    </w:pPr>
  </w:style>
  <w:style w:type="paragraph" w:styleId="ListNumber2">
    <w:name w:val="List Number 2"/>
    <w:basedOn w:val="ListBullet2"/>
    <w:pPr>
      <w:tabs>
        <w:tab w:val="clear" w:pos="360"/>
      </w:tabs>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sz w:val="22"/>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sz w:val="22"/>
    </w:r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rPr>
  </w:style>
  <w:style w:type="paragraph" w:styleId="Date">
    <w:name w:val="Date"/>
    <w:basedOn w:val="Normal"/>
    <w:next w:val="Normal"/>
    <w:link w:val="DateChar"/>
  </w:style>
  <w:style w:type="character" w:customStyle="1" w:styleId="DateChar">
    <w:name w:val="Date Char"/>
    <w:basedOn w:val="DefaultParagraphFont"/>
    <w:link w:val="Date"/>
    <w:rPr>
      <w:sz w:val="22"/>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2"/>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rPr>
      <w:rFonts w:ascii="Tahoma" w:hAnsi="Tahoma" w:cs="Tahoma"/>
      <w:sz w:val="16"/>
      <w:szCs w:val="16"/>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nsolas" w:hAnsi="Consolas" w:cs="Consolas"/>
      <w:sz w:val="21"/>
      <w:szCs w:val="21"/>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2"/>
    </w:rPr>
  </w:style>
  <w:style w:type="paragraph" w:customStyle="1" w:styleId="1point">
    <w:name w:val="1 point"/>
    <w:pPr>
      <w:jc w:val="center"/>
    </w:pPr>
    <w:rPr>
      <w:rFonts w:ascii="Tms Rmn" w:hAnsi="Tms Rmn"/>
      <w:sz w:val="2"/>
    </w:rPr>
  </w:style>
  <w:style w:type="paragraph" w:customStyle="1" w:styleId="AlignBrackets">
    <w:name w:val="AlignBrackets"/>
    <w:basedOn w:val="Normal"/>
    <w:pPr>
      <w:ind w:left="153" w:right="-57" w:hanging="153"/>
      <w:jc w:val="right"/>
    </w:pPr>
    <w:rPr>
      <w:sz w:val="18"/>
    </w:rPr>
  </w:style>
  <w:style w:type="paragraph" w:customStyle="1" w:styleId="AlignBracketsOne">
    <w:name w:val="AlignBracketsOne"/>
    <w:basedOn w:val="Normal"/>
    <w:pPr>
      <w:ind w:left="153" w:hanging="153"/>
      <w:jc w:val="right"/>
    </w:pPr>
    <w:rPr>
      <w:sz w:val="18"/>
    </w:rPr>
  </w:style>
  <w:style w:type="paragraph" w:customStyle="1" w:styleId="AlignBracketsTwo">
    <w:name w:val="AlignBracketsTwo"/>
    <w:basedOn w:val="Normal"/>
    <w:pPr>
      <w:ind w:left="153" w:right="57" w:hanging="153"/>
      <w:jc w:val="right"/>
    </w:pPr>
    <w:rPr>
      <w:sz w:val="18"/>
    </w:rPr>
  </w:style>
  <w:style w:type="paragraph" w:customStyle="1" w:styleId="Tabletext">
    <w:name w:val="Tabletext"/>
    <w:basedOn w:val="Normal"/>
    <w:rPr>
      <w:sz w:val="18"/>
    </w:rPr>
  </w:style>
  <w:style w:type="paragraph" w:customStyle="1" w:styleId="AlignWithoutBrackets">
    <w:name w:val="AlignWithoutBrackets"/>
    <w:basedOn w:val="Tabletext"/>
    <w:pPr>
      <w:jc w:val="right"/>
    </w:pPr>
  </w:style>
  <w:style w:type="paragraph" w:customStyle="1" w:styleId="AlignWithoutOne">
    <w:name w:val="AlignWithoutOne"/>
    <w:basedOn w:val="Normal"/>
    <w:pPr>
      <w:ind w:left="153" w:right="57" w:hanging="153"/>
      <w:jc w:val="right"/>
    </w:pPr>
    <w:rPr>
      <w:sz w:val="18"/>
    </w:rPr>
  </w:style>
  <w:style w:type="paragraph" w:customStyle="1" w:styleId="AlignWithoutTwo">
    <w:name w:val="AlignWithoutTwo"/>
    <w:basedOn w:val="Normal"/>
    <w:pPr>
      <w:ind w:left="153" w:right="113" w:hanging="153"/>
      <w:jc w:val="right"/>
    </w:pPr>
    <w:rPr>
      <w:sz w:val="18"/>
    </w:rPr>
  </w:style>
  <w:style w:type="paragraph" w:customStyle="1" w:styleId="AppendixHeader">
    <w:name w:val="Appendix Header"/>
    <w:basedOn w:val="Normal"/>
    <w:pPr>
      <w:keepNext/>
      <w:pageBreakBefore/>
      <w:tabs>
        <w:tab w:val="num" w:pos="0"/>
      </w:tabs>
      <w:spacing w:after="600"/>
    </w:pPr>
    <w:rPr>
      <w:b/>
      <w:sz w:val="32"/>
    </w:rPr>
  </w:style>
  <w:style w:type="paragraph" w:customStyle="1" w:styleId="AppendixHeaderSmall">
    <w:name w:val="Appendix Header Small"/>
    <w:next w:val="Text"/>
    <w:pPr>
      <w:overflowPunct w:val="0"/>
      <w:adjustRightInd w:val="0"/>
    </w:pPr>
    <w:rPr>
      <w:rFonts w:ascii="Tms Rmn" w:hAnsi="Tms Rmn"/>
      <w:b/>
      <w:noProof/>
      <w:sz w:val="26"/>
    </w:rPr>
  </w:style>
  <w:style w:type="paragraph" w:customStyle="1" w:styleId="Bullet">
    <w:name w:val="Bullet"/>
    <w:basedOn w:val="Normal"/>
    <w:pPr>
      <w:tabs>
        <w:tab w:val="left" w:pos="284"/>
        <w:tab w:val="num" w:pos="360"/>
      </w:tabs>
      <w:spacing w:after="130"/>
      <w:jc w:val="both"/>
    </w:pPr>
  </w:style>
  <w:style w:type="paragraph" w:customStyle="1" w:styleId="ContentsHeading">
    <w:name w:val="Contents Heading"/>
    <w:pPr>
      <w:spacing w:after="600"/>
    </w:pPr>
    <w:rPr>
      <w:b/>
      <w:sz w:val="32"/>
    </w:rPr>
  </w:style>
  <w:style w:type="paragraph" w:customStyle="1" w:styleId="CoverBranding">
    <w:name w:val="Cover Branding"/>
    <w:pPr>
      <w:spacing w:before="40" w:after="40"/>
      <w:jc w:val="center"/>
    </w:pPr>
    <w:rPr>
      <w:rFonts w:ascii="Tms Rmn" w:hAnsi="Tms Rmn"/>
    </w:rPr>
  </w:style>
  <w:style w:type="paragraph" w:customStyle="1" w:styleId="CoverClientName">
    <w:name w:val="Cover Client Name"/>
    <w:pPr>
      <w:spacing w:before="80" w:after="520"/>
      <w:jc w:val="center"/>
    </w:pPr>
    <w:rPr>
      <w:rFonts w:ascii="Tms Rmn" w:hAnsi="Tms Rmn"/>
      <w:b/>
      <w:sz w:val="26"/>
    </w:rPr>
  </w:style>
  <w:style w:type="paragraph" w:customStyle="1" w:styleId="CoverDate">
    <w:name w:val="Cover Date"/>
    <w:pPr>
      <w:spacing w:before="40" w:after="40"/>
      <w:jc w:val="center"/>
    </w:pPr>
    <w:rPr>
      <w:rFonts w:ascii="Tms Rmn" w:hAnsi="Tms Rmn"/>
    </w:rPr>
  </w:style>
  <w:style w:type="paragraph" w:customStyle="1" w:styleId="CoverNumberOfPages">
    <w:name w:val="Cover NumberOfPages"/>
    <w:pPr>
      <w:spacing w:before="40" w:after="40"/>
      <w:jc w:val="center"/>
    </w:pPr>
    <w:rPr>
      <w:rFonts w:ascii="Tms Rmn" w:hAnsi="Tms Rmn"/>
      <w:i/>
    </w:rPr>
  </w:style>
  <w:style w:type="paragraph" w:customStyle="1" w:styleId="CoverReference">
    <w:name w:val="Cover Reference"/>
    <w:pPr>
      <w:spacing w:before="40" w:after="40"/>
      <w:jc w:val="center"/>
    </w:pPr>
    <w:rPr>
      <w:rFonts w:ascii="Tms Rmn" w:hAnsi="Tms Rmn"/>
    </w:rPr>
  </w:style>
  <w:style w:type="paragraph" w:customStyle="1" w:styleId="CoverSubTitle">
    <w:name w:val="Cover SubTitle"/>
    <w:pPr>
      <w:spacing w:line="440" w:lineRule="exact"/>
      <w:jc w:val="center"/>
    </w:pPr>
    <w:rPr>
      <w:rFonts w:ascii="Tms Rmn" w:hAnsi="Tms Rmn"/>
      <w:sz w:val="32"/>
    </w:rPr>
  </w:style>
  <w:style w:type="paragraph" w:customStyle="1" w:styleId="CoverTitle">
    <w:name w:val="Cover Title"/>
    <w:pPr>
      <w:tabs>
        <w:tab w:val="num" w:pos="360"/>
      </w:tabs>
      <w:spacing w:line="440" w:lineRule="exact"/>
      <w:jc w:val="center"/>
    </w:pPr>
    <w:rPr>
      <w:rFonts w:ascii="Tms Rmn" w:hAnsi="Tms Rmn"/>
      <w:sz w:val="36"/>
    </w:rPr>
  </w:style>
  <w:style w:type="paragraph" w:customStyle="1" w:styleId="Tablehead">
    <w:name w:val="Tablehead"/>
    <w:basedOn w:val="Normal"/>
    <w:pPr>
      <w:spacing w:before="130"/>
      <w:jc w:val="right"/>
    </w:pPr>
    <w:rPr>
      <w:sz w:val="18"/>
    </w:rPr>
  </w:style>
  <w:style w:type="paragraph" w:customStyle="1" w:styleId="Denomination">
    <w:name w:val="Denomination"/>
    <w:basedOn w:val="Tablehead"/>
    <w:pPr>
      <w:spacing w:before="0"/>
    </w:pPr>
  </w:style>
  <w:style w:type="paragraph" w:customStyle="1" w:styleId="Denomination1">
    <w:name w:val="Denomination1"/>
    <w:basedOn w:val="Normal"/>
    <w:pPr>
      <w:ind w:right="113"/>
      <w:jc w:val="right"/>
    </w:pPr>
    <w:rPr>
      <w:sz w:val="18"/>
    </w:rPr>
  </w:style>
  <w:style w:type="paragraph" w:customStyle="1" w:styleId="Denomination2">
    <w:name w:val="Denomination2"/>
    <w:basedOn w:val="Normal"/>
    <w:pPr>
      <w:ind w:right="113"/>
      <w:jc w:val="right"/>
    </w:pPr>
    <w:rPr>
      <w:sz w:val="18"/>
    </w:rPr>
  </w:style>
  <w:style w:type="paragraph" w:customStyle="1" w:styleId="Double">
    <w:name w:val="Double"/>
    <w:basedOn w:val="Normal"/>
    <w:pPr>
      <w:spacing w:after="130"/>
      <w:jc w:val="right"/>
    </w:pPr>
    <w:rPr>
      <w:u w:val="double"/>
    </w:rPr>
  </w:style>
  <w:style w:type="paragraph" w:customStyle="1" w:styleId="GlossaryHeader">
    <w:name w:val="Glossary Header"/>
    <w:next w:val="Normal"/>
    <w:pPr>
      <w:overflowPunct w:val="0"/>
      <w:adjustRightInd w:val="0"/>
    </w:pPr>
    <w:rPr>
      <w:noProof/>
      <w:sz w:val="36"/>
    </w:rPr>
  </w:style>
  <w:style w:type="paragraph" w:customStyle="1" w:styleId="GlossaryText">
    <w:name w:val="Glossary Text"/>
    <w:basedOn w:val="Normal"/>
    <w:pPr>
      <w:tabs>
        <w:tab w:val="left" w:pos="2835"/>
      </w:tabs>
      <w:spacing w:before="260"/>
      <w:jc w:val="both"/>
    </w:pPr>
  </w:style>
  <w:style w:type="paragraph" w:customStyle="1" w:styleId="KPMGLargelogo">
    <w:name w:val="KPMG Large logo"/>
    <w:basedOn w:val="Normal"/>
    <w:pPr>
      <w:jc w:val="both"/>
    </w:pPr>
    <w:rPr>
      <w:rFonts w:ascii="KPMG Logo" w:hAnsi="KPMG Logo"/>
      <w:sz w:val="44"/>
    </w:rPr>
  </w:style>
  <w:style w:type="paragraph" w:customStyle="1" w:styleId="KPMGSmalllogo">
    <w:name w:val="KPMG Small logo"/>
    <w:basedOn w:val="Normal"/>
    <w:pPr>
      <w:keepLines/>
    </w:pPr>
    <w:rPr>
      <w:rFonts w:ascii="KPMG Logo" w:hAnsi="KPMG Logo"/>
      <w:sz w:val="26"/>
    </w:rPr>
  </w:style>
  <w:style w:type="paragraph" w:customStyle="1" w:styleId="ObjectiveBullet">
    <w:name w:val="ObjectiveBullet"/>
    <w:basedOn w:val="Normal"/>
  </w:style>
  <w:style w:type="paragraph" w:customStyle="1" w:styleId="Objective">
    <w:name w:val="Objective"/>
    <w:basedOn w:val="Text"/>
    <w:next w:val="ObjectiveBullet"/>
    <w:pPr>
      <w:ind w:left="992" w:hanging="992"/>
    </w:pPr>
    <w:rPr>
      <w:b/>
      <w:i/>
      <w:sz w:val="18"/>
    </w:rPr>
  </w:style>
  <w:style w:type="paragraph" w:customStyle="1" w:styleId="PageNumber1">
    <w:name w:val="Page Number1"/>
    <w:basedOn w:val="Normal"/>
    <w:pPr>
      <w:tabs>
        <w:tab w:val="center" w:pos="4320"/>
        <w:tab w:val="right" w:pos="8640"/>
      </w:tabs>
      <w:jc w:val="center"/>
    </w:pPr>
  </w:style>
  <w:style w:type="paragraph" w:customStyle="1" w:styleId="RunningTitle">
    <w:name w:val="Running Title"/>
    <w:basedOn w:val="Normal"/>
    <w:pPr>
      <w:spacing w:line="220" w:lineRule="exact"/>
      <w:jc w:val="right"/>
    </w:pPr>
    <w:rPr>
      <w:i/>
      <w:sz w:val="18"/>
    </w:rPr>
  </w:style>
  <w:style w:type="paragraph" w:customStyle="1" w:styleId="Single">
    <w:name w:val="Single"/>
    <w:basedOn w:val="Normal"/>
    <w:pPr>
      <w:spacing w:after="130"/>
      <w:jc w:val="right"/>
    </w:pPr>
    <w:rPr>
      <w:u w:val="single"/>
    </w:rPr>
  </w:style>
  <w:style w:type="paragraph" w:customStyle="1" w:styleId="Source">
    <w:name w:val="Source"/>
    <w:basedOn w:val="Normal"/>
    <w:next w:val="Text"/>
    <w:pPr>
      <w:keepLines/>
      <w:spacing w:after="130" w:line="260" w:lineRule="exact"/>
      <w:jc w:val="both"/>
    </w:pPr>
    <w:rPr>
      <w:i/>
      <w:sz w:val="18"/>
    </w:rPr>
  </w:style>
  <w:style w:type="paragraph" w:customStyle="1" w:styleId="SubCoverTitle">
    <w:name w:val="Sub Cover Title"/>
    <w:basedOn w:val="Normal"/>
    <w:pPr>
      <w:framePr w:w="5999" w:hSpace="180" w:vSpace="180" w:wrap="auto" w:vAnchor="page" w:hAnchor="text" w:xAlign="center" w:y="3841"/>
      <w:spacing w:line="440" w:lineRule="exact"/>
      <w:ind w:left="567"/>
    </w:pPr>
    <w:rPr>
      <w:sz w:val="26"/>
    </w:rPr>
  </w:style>
  <w:style w:type="paragraph" w:customStyle="1" w:styleId="Tablehead1">
    <w:name w:val="Tablehead1"/>
    <w:basedOn w:val="Normal"/>
    <w:pPr>
      <w:spacing w:before="130"/>
      <w:ind w:right="113"/>
      <w:jc w:val="right"/>
    </w:pPr>
    <w:rPr>
      <w:sz w:val="18"/>
    </w:rPr>
  </w:style>
  <w:style w:type="paragraph" w:customStyle="1" w:styleId="Tablenums">
    <w:name w:val="Tablenums"/>
    <w:basedOn w:val="Normal"/>
    <w:pPr>
      <w:tabs>
        <w:tab w:val="decimal" w:pos="794"/>
      </w:tabs>
    </w:pPr>
    <w:rPr>
      <w:sz w:val="18"/>
    </w:rPr>
  </w:style>
  <w:style w:type="character" w:styleId="FootnoteReference">
    <w:name w:val="footnote reference"/>
    <w:basedOn w:val="DefaultParagraphFont"/>
    <w:semiHidden/>
    <w:rPr>
      <w:rFonts w:ascii="Times New Roman" w:hAnsi="Times New Roman" w:cs="Times New Roman" w:hint="default"/>
      <w:color w:val="auto"/>
      <w:sz w:val="18"/>
      <w:vertAlign w:val="superscript"/>
    </w:rPr>
  </w:style>
  <w:style w:type="character" w:styleId="CommentReference">
    <w:name w:val="annotation reference"/>
    <w:basedOn w:val="DefaultParagraphFont"/>
    <w:semiHidden/>
    <w:rPr>
      <w:sz w:val="16"/>
    </w:rPr>
  </w:style>
  <w:style w:type="character" w:styleId="EndnoteReference">
    <w:name w:val="endnote reference"/>
    <w:basedOn w:val="DefaultParagraphFont"/>
    <w:semiHidden/>
    <w:rPr>
      <w:color w:val="auto"/>
      <w:vertAlign w:val="superscript"/>
    </w:rPr>
  </w:style>
  <w:style w:type="character" w:customStyle="1" w:styleId="ContentsPageNumber">
    <w:name w:val="Contents Page Number"/>
    <w:basedOn w:val="DefaultParagraphFont"/>
    <w:rPr>
      <w:rFonts w:ascii="Times New Roman" w:hAnsi="Times New Roman" w:cs="Times New Roman" w:hint="default"/>
      <w:sz w:val="22"/>
    </w:rPr>
  </w:style>
  <w:style w:type="table" w:styleId="TableGrid">
    <w:name w:val="Table Grid"/>
    <w:basedOn w:val="TableNormal"/>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CASE STUDY ON</vt:lpstr>
    </vt:vector>
  </TitlesOfParts>
  <Company>KPMG</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ON</dc:title>
  <dc:creator>mprowle</dc:creator>
  <cp:lastModifiedBy>Graham</cp:lastModifiedBy>
  <cp:revision>2</cp:revision>
  <cp:lastPrinted>2007-03-19T10:48:00Z</cp:lastPrinted>
  <dcterms:created xsi:type="dcterms:W3CDTF">2012-09-27T13:39:00Z</dcterms:created>
  <dcterms:modified xsi:type="dcterms:W3CDTF">2012-09-27T13:39:00Z</dcterms:modified>
</cp:coreProperties>
</file>